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DA0BE" w14:textId="77777777" w:rsidR="00916D78" w:rsidRDefault="00916D78"/>
    <w:p w14:paraId="344B5D40" w14:textId="43D8FAC5" w:rsidR="000F265D" w:rsidRPr="00011A36" w:rsidRDefault="007F1FAA" w:rsidP="000F265D">
      <w:pPr>
        <w:spacing w:after="360"/>
        <w:ind w:left="-284" w:right="119"/>
        <w:rPr>
          <w:rFonts w:cs="Arial"/>
          <w:bCs/>
          <w:color w:val="005EB8"/>
          <w:sz w:val="48"/>
          <w:szCs w:val="48"/>
        </w:rPr>
      </w:pPr>
      <w:r w:rsidRPr="00011A36">
        <w:rPr>
          <w:rFonts w:cs="Arial"/>
          <w:bCs/>
          <w:color w:val="005EB8"/>
          <w:sz w:val="48"/>
          <w:szCs w:val="48"/>
        </w:rPr>
        <w:t xml:space="preserve">Patient </w:t>
      </w:r>
      <w:r w:rsidR="00F17175" w:rsidRPr="00011A36">
        <w:rPr>
          <w:rFonts w:cs="Arial"/>
          <w:bCs/>
          <w:color w:val="005EB8"/>
          <w:sz w:val="48"/>
          <w:szCs w:val="48"/>
        </w:rPr>
        <w:t xml:space="preserve">safety incident </w:t>
      </w:r>
      <w:r w:rsidR="000E31F1" w:rsidRPr="00011A36">
        <w:rPr>
          <w:rFonts w:cs="Arial"/>
          <w:bCs/>
          <w:color w:val="005EB8"/>
          <w:sz w:val="48"/>
          <w:szCs w:val="48"/>
        </w:rPr>
        <w:t>response p</w:t>
      </w:r>
      <w:r w:rsidR="000F265D" w:rsidRPr="00011A36">
        <w:rPr>
          <w:rFonts w:cs="Arial"/>
          <w:bCs/>
          <w:color w:val="005EB8"/>
          <w:sz w:val="48"/>
          <w:szCs w:val="48"/>
        </w:rPr>
        <w:t>lan</w:t>
      </w:r>
    </w:p>
    <w:p w14:paraId="456D694C" w14:textId="4704DCF4" w:rsidR="00E37978" w:rsidRPr="00B9403D" w:rsidRDefault="00E37978" w:rsidP="00B9403D">
      <w:pPr>
        <w:spacing w:after="280"/>
        <w:ind w:left="-284"/>
        <w:rPr>
          <w:rFonts w:cs="Arial"/>
          <w:bCs/>
          <w:sz w:val="24"/>
          <w:szCs w:val="24"/>
        </w:rPr>
      </w:pPr>
      <w:r w:rsidRPr="00B9403D">
        <w:rPr>
          <w:rFonts w:cs="Arial"/>
          <w:bCs/>
          <w:sz w:val="24"/>
          <w:szCs w:val="24"/>
        </w:rPr>
        <w:t>Effective date</w:t>
      </w:r>
      <w:r w:rsidR="00B9403D" w:rsidRPr="00B9403D">
        <w:rPr>
          <w:rFonts w:cs="Arial"/>
          <w:bCs/>
          <w:sz w:val="24"/>
          <w:szCs w:val="24"/>
        </w:rPr>
        <w:t>:</w:t>
      </w:r>
      <w:r w:rsidR="001018D6">
        <w:rPr>
          <w:rFonts w:cs="Arial"/>
          <w:bCs/>
          <w:sz w:val="24"/>
          <w:szCs w:val="24"/>
        </w:rPr>
        <w:t xml:space="preserve"> 1 January 2024</w:t>
      </w:r>
    </w:p>
    <w:p w14:paraId="709A3B42" w14:textId="49EDBE30" w:rsidR="00E37978" w:rsidRDefault="00E37978" w:rsidP="00371AA6">
      <w:pPr>
        <w:spacing w:after="600"/>
        <w:ind w:left="-284"/>
        <w:rPr>
          <w:rFonts w:cs="Arial"/>
          <w:bCs/>
          <w:sz w:val="24"/>
          <w:szCs w:val="24"/>
        </w:rPr>
      </w:pPr>
      <w:r w:rsidRPr="00B9403D">
        <w:rPr>
          <w:rFonts w:cs="Arial"/>
          <w:bCs/>
          <w:sz w:val="24"/>
          <w:szCs w:val="24"/>
        </w:rPr>
        <w:t>Estimated refresh date:</w:t>
      </w:r>
      <w:r w:rsidR="001018D6">
        <w:rPr>
          <w:rFonts w:cs="Arial"/>
          <w:bCs/>
          <w:sz w:val="24"/>
          <w:szCs w:val="24"/>
        </w:rPr>
        <w:t xml:space="preserve"> 1 April 2025</w:t>
      </w:r>
    </w:p>
    <w:tbl>
      <w:tblPr>
        <w:tblW w:w="9923"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559"/>
        <w:gridCol w:w="5387"/>
        <w:gridCol w:w="1417"/>
      </w:tblGrid>
      <w:tr w:rsidR="00796969" w14:paraId="02339999" w14:textId="77777777" w:rsidTr="00796969">
        <w:tc>
          <w:tcPr>
            <w:tcW w:w="1560" w:type="dxa"/>
            <w:tcBorders>
              <w:top w:val="nil"/>
              <w:left w:val="nil"/>
              <w:bottom w:val="single" w:sz="4" w:space="0" w:color="000000"/>
              <w:right w:val="single" w:sz="4" w:space="0" w:color="000000"/>
            </w:tcBorders>
          </w:tcPr>
          <w:p w14:paraId="00812DDF" w14:textId="77777777" w:rsidR="00796969" w:rsidRDefault="00796969" w:rsidP="004B04C6">
            <w:pPr>
              <w:pBdr>
                <w:top w:val="nil"/>
                <w:left w:val="nil"/>
                <w:bottom w:val="nil"/>
                <w:right w:val="nil"/>
                <w:between w:val="nil"/>
              </w:pBdr>
              <w:spacing w:before="40" w:after="40" w:line="240" w:lineRule="auto"/>
              <w:rPr>
                <w:rFonts w:eastAsia="Arial" w:cs="Arial"/>
                <w:b/>
                <w:color w:val="000000"/>
              </w:rPr>
            </w:pPr>
          </w:p>
        </w:tc>
        <w:tc>
          <w:tcPr>
            <w:tcW w:w="1559" w:type="dxa"/>
            <w:tcBorders>
              <w:left w:val="nil"/>
            </w:tcBorders>
          </w:tcPr>
          <w:p w14:paraId="76C984D2" w14:textId="77777777" w:rsidR="00796969" w:rsidRPr="0015328C" w:rsidRDefault="00796969" w:rsidP="004B04C6">
            <w:pPr>
              <w:pBdr>
                <w:top w:val="nil"/>
                <w:left w:val="nil"/>
                <w:bottom w:val="nil"/>
                <w:right w:val="nil"/>
                <w:between w:val="nil"/>
              </w:pBdr>
              <w:spacing w:before="40" w:after="40" w:line="240" w:lineRule="auto"/>
              <w:jc w:val="center"/>
              <w:rPr>
                <w:rFonts w:eastAsia="Arial" w:cs="Arial"/>
                <w:b/>
                <w:color w:val="000000"/>
                <w:sz w:val="24"/>
                <w:szCs w:val="24"/>
              </w:rPr>
            </w:pPr>
            <w:r w:rsidRPr="0015328C">
              <w:rPr>
                <w:rFonts w:eastAsia="Arial" w:cs="Arial"/>
                <w:b/>
                <w:color w:val="000000"/>
                <w:sz w:val="24"/>
                <w:szCs w:val="24"/>
              </w:rPr>
              <w:t>NAME</w:t>
            </w:r>
          </w:p>
        </w:tc>
        <w:tc>
          <w:tcPr>
            <w:tcW w:w="5387" w:type="dxa"/>
            <w:tcBorders>
              <w:left w:val="nil"/>
              <w:right w:val="single" w:sz="4" w:space="0" w:color="000000"/>
            </w:tcBorders>
          </w:tcPr>
          <w:p w14:paraId="2BF97111" w14:textId="77777777" w:rsidR="00796969" w:rsidRPr="0015328C" w:rsidRDefault="00796969" w:rsidP="004B04C6">
            <w:pPr>
              <w:pBdr>
                <w:top w:val="nil"/>
                <w:left w:val="nil"/>
                <w:bottom w:val="nil"/>
                <w:right w:val="nil"/>
                <w:between w:val="nil"/>
              </w:pBdr>
              <w:spacing w:before="40" w:after="40" w:line="240" w:lineRule="auto"/>
              <w:jc w:val="center"/>
              <w:rPr>
                <w:rFonts w:eastAsia="Arial" w:cs="Arial"/>
                <w:b/>
                <w:color w:val="000000"/>
                <w:sz w:val="24"/>
                <w:szCs w:val="24"/>
              </w:rPr>
            </w:pPr>
            <w:r w:rsidRPr="0015328C">
              <w:rPr>
                <w:rFonts w:eastAsia="Arial" w:cs="Arial"/>
                <w:b/>
                <w:color w:val="000000"/>
                <w:sz w:val="24"/>
                <w:szCs w:val="24"/>
              </w:rPr>
              <w:t>TITLE</w:t>
            </w:r>
          </w:p>
        </w:tc>
        <w:tc>
          <w:tcPr>
            <w:tcW w:w="1417" w:type="dxa"/>
          </w:tcPr>
          <w:p w14:paraId="3247A938" w14:textId="77777777" w:rsidR="00796969" w:rsidRPr="0015328C" w:rsidRDefault="00796969" w:rsidP="004B04C6">
            <w:pPr>
              <w:pBdr>
                <w:top w:val="nil"/>
                <w:left w:val="nil"/>
                <w:bottom w:val="nil"/>
                <w:right w:val="nil"/>
                <w:between w:val="nil"/>
              </w:pBdr>
              <w:spacing w:before="40" w:after="40" w:line="240" w:lineRule="auto"/>
              <w:jc w:val="center"/>
              <w:rPr>
                <w:rFonts w:eastAsia="Arial" w:cs="Arial"/>
                <w:b/>
                <w:color w:val="000000"/>
                <w:sz w:val="24"/>
                <w:szCs w:val="24"/>
              </w:rPr>
            </w:pPr>
            <w:r w:rsidRPr="0015328C">
              <w:rPr>
                <w:rFonts w:eastAsia="Arial" w:cs="Arial"/>
                <w:b/>
                <w:color w:val="000000"/>
                <w:sz w:val="24"/>
                <w:szCs w:val="24"/>
              </w:rPr>
              <w:t>DATE</w:t>
            </w:r>
          </w:p>
        </w:tc>
      </w:tr>
      <w:tr w:rsidR="00796969" w14:paraId="7D034250" w14:textId="77777777" w:rsidTr="00796969">
        <w:trPr>
          <w:trHeight w:val="567"/>
        </w:trPr>
        <w:tc>
          <w:tcPr>
            <w:tcW w:w="1560" w:type="dxa"/>
            <w:tcBorders>
              <w:top w:val="single" w:sz="4" w:space="0" w:color="000000"/>
              <w:left w:val="single" w:sz="4" w:space="0" w:color="000000"/>
              <w:bottom w:val="single" w:sz="4" w:space="0" w:color="000000"/>
            </w:tcBorders>
          </w:tcPr>
          <w:p w14:paraId="1098244E" w14:textId="77777777" w:rsidR="00796969" w:rsidRPr="0015328C" w:rsidRDefault="00796969" w:rsidP="004B04C6">
            <w:pPr>
              <w:pBdr>
                <w:top w:val="nil"/>
                <w:left w:val="nil"/>
                <w:bottom w:val="nil"/>
                <w:right w:val="nil"/>
                <w:between w:val="nil"/>
              </w:pBdr>
              <w:spacing w:before="40" w:after="40" w:line="240" w:lineRule="auto"/>
              <w:rPr>
                <w:rFonts w:eastAsia="Arial" w:cs="Arial"/>
                <w:b/>
                <w:color w:val="000000"/>
                <w:sz w:val="24"/>
                <w:szCs w:val="24"/>
              </w:rPr>
            </w:pPr>
            <w:r w:rsidRPr="0015328C">
              <w:rPr>
                <w:rFonts w:eastAsia="Arial" w:cs="Arial"/>
                <w:b/>
                <w:color w:val="000000"/>
                <w:sz w:val="24"/>
                <w:szCs w:val="24"/>
              </w:rPr>
              <w:t>Author</w:t>
            </w:r>
          </w:p>
        </w:tc>
        <w:tc>
          <w:tcPr>
            <w:tcW w:w="1559" w:type="dxa"/>
          </w:tcPr>
          <w:p w14:paraId="37B56DC6" w14:textId="3746B46F" w:rsidR="00796969" w:rsidRPr="00C204FD" w:rsidRDefault="00796969" w:rsidP="004B04C6">
            <w:pPr>
              <w:pBdr>
                <w:top w:val="nil"/>
                <w:left w:val="nil"/>
                <w:bottom w:val="nil"/>
                <w:right w:val="nil"/>
                <w:between w:val="nil"/>
              </w:pBdr>
              <w:spacing w:before="40" w:after="40" w:line="240" w:lineRule="auto"/>
              <w:rPr>
                <w:rFonts w:eastAsia="Arial" w:cs="Arial"/>
                <w:bCs/>
                <w:color w:val="000000"/>
              </w:rPr>
            </w:pPr>
            <w:r w:rsidRPr="00C204FD">
              <w:rPr>
                <w:rFonts w:eastAsia="Arial" w:cs="Arial"/>
                <w:bCs/>
                <w:color w:val="000000"/>
              </w:rPr>
              <w:t>Claire Gray-Sharpe</w:t>
            </w:r>
          </w:p>
        </w:tc>
        <w:tc>
          <w:tcPr>
            <w:tcW w:w="5387" w:type="dxa"/>
          </w:tcPr>
          <w:p w14:paraId="46412091" w14:textId="1715D4A8" w:rsidR="00796969" w:rsidRPr="00C204FD" w:rsidRDefault="00796969" w:rsidP="004B04C6">
            <w:pPr>
              <w:pBdr>
                <w:top w:val="nil"/>
                <w:left w:val="nil"/>
                <w:bottom w:val="nil"/>
                <w:right w:val="nil"/>
                <w:between w:val="nil"/>
              </w:pBdr>
              <w:spacing w:before="40" w:after="40" w:line="240" w:lineRule="auto"/>
              <w:rPr>
                <w:rFonts w:eastAsia="Arial" w:cs="Arial"/>
                <w:bCs/>
                <w:color w:val="000000"/>
              </w:rPr>
            </w:pPr>
            <w:r w:rsidRPr="00C204FD">
              <w:rPr>
                <w:rFonts w:eastAsia="Arial" w:cs="Arial"/>
                <w:bCs/>
                <w:color w:val="000000"/>
              </w:rPr>
              <w:t>Head of Clinical Governance</w:t>
            </w:r>
          </w:p>
        </w:tc>
        <w:tc>
          <w:tcPr>
            <w:tcW w:w="1417" w:type="dxa"/>
          </w:tcPr>
          <w:p w14:paraId="374213ED" w14:textId="77777777" w:rsidR="00796969" w:rsidRDefault="00796969" w:rsidP="004B04C6">
            <w:pPr>
              <w:pBdr>
                <w:top w:val="nil"/>
                <w:left w:val="nil"/>
                <w:bottom w:val="nil"/>
                <w:right w:val="nil"/>
                <w:between w:val="nil"/>
              </w:pBdr>
              <w:spacing w:before="40" w:after="40" w:line="240" w:lineRule="auto"/>
              <w:rPr>
                <w:rFonts w:eastAsia="Arial" w:cs="Arial"/>
                <w:b/>
                <w:color w:val="000000"/>
              </w:rPr>
            </w:pPr>
          </w:p>
        </w:tc>
      </w:tr>
      <w:tr w:rsidR="00796969" w14:paraId="2300E8AE" w14:textId="77777777" w:rsidTr="00796969">
        <w:trPr>
          <w:trHeight w:val="567"/>
        </w:trPr>
        <w:tc>
          <w:tcPr>
            <w:tcW w:w="1560" w:type="dxa"/>
            <w:tcBorders>
              <w:top w:val="single" w:sz="4" w:space="0" w:color="000000"/>
              <w:left w:val="single" w:sz="4" w:space="0" w:color="000000"/>
              <w:bottom w:val="single" w:sz="4" w:space="0" w:color="000000"/>
            </w:tcBorders>
          </w:tcPr>
          <w:p w14:paraId="0113E164" w14:textId="77777777" w:rsidR="00796969" w:rsidRPr="0015328C" w:rsidRDefault="00796969" w:rsidP="004B04C6">
            <w:pPr>
              <w:pBdr>
                <w:top w:val="nil"/>
                <w:left w:val="nil"/>
                <w:bottom w:val="nil"/>
                <w:right w:val="nil"/>
                <w:between w:val="nil"/>
              </w:pBdr>
              <w:spacing w:before="40" w:after="40" w:line="240" w:lineRule="auto"/>
              <w:rPr>
                <w:rFonts w:eastAsia="Arial" w:cs="Arial"/>
                <w:b/>
                <w:color w:val="000000"/>
                <w:sz w:val="24"/>
                <w:szCs w:val="24"/>
              </w:rPr>
            </w:pPr>
            <w:r w:rsidRPr="0015328C">
              <w:rPr>
                <w:rFonts w:eastAsia="Arial" w:cs="Arial"/>
                <w:b/>
                <w:color w:val="000000"/>
                <w:sz w:val="24"/>
                <w:szCs w:val="24"/>
              </w:rPr>
              <w:t>Reviewer</w:t>
            </w:r>
          </w:p>
        </w:tc>
        <w:tc>
          <w:tcPr>
            <w:tcW w:w="1559" w:type="dxa"/>
          </w:tcPr>
          <w:p w14:paraId="72BA6336" w14:textId="2BCFD7CC" w:rsidR="00796969" w:rsidRPr="00C204FD" w:rsidRDefault="00796969" w:rsidP="004B04C6">
            <w:pPr>
              <w:pBdr>
                <w:top w:val="nil"/>
                <w:left w:val="nil"/>
                <w:bottom w:val="nil"/>
                <w:right w:val="nil"/>
                <w:between w:val="nil"/>
              </w:pBdr>
              <w:spacing w:before="40" w:after="40" w:line="240" w:lineRule="auto"/>
              <w:rPr>
                <w:rFonts w:eastAsia="Arial" w:cs="Arial"/>
                <w:bCs/>
                <w:color w:val="000000"/>
              </w:rPr>
            </w:pPr>
            <w:r w:rsidRPr="00C204FD">
              <w:rPr>
                <w:rFonts w:eastAsia="Arial" w:cs="Arial"/>
                <w:bCs/>
                <w:color w:val="000000"/>
              </w:rPr>
              <w:t>Sheila Sorby</w:t>
            </w:r>
          </w:p>
        </w:tc>
        <w:tc>
          <w:tcPr>
            <w:tcW w:w="5387" w:type="dxa"/>
          </w:tcPr>
          <w:p w14:paraId="737CFD0F" w14:textId="373D83A1" w:rsidR="00796969" w:rsidRPr="00C204FD" w:rsidRDefault="00796969" w:rsidP="008B0CC2">
            <w:pPr>
              <w:pBdr>
                <w:top w:val="nil"/>
                <w:left w:val="nil"/>
                <w:bottom w:val="nil"/>
                <w:right w:val="nil"/>
                <w:between w:val="nil"/>
              </w:pBdr>
              <w:spacing w:before="40" w:after="40" w:line="240" w:lineRule="auto"/>
              <w:ind w:left="31" w:hanging="31"/>
              <w:rPr>
                <w:rFonts w:eastAsia="Arial" w:cs="Arial"/>
                <w:bCs/>
                <w:color w:val="000000"/>
              </w:rPr>
            </w:pPr>
            <w:r w:rsidRPr="00C204FD">
              <w:rPr>
                <w:rFonts w:eastAsia="Arial" w:cs="Arial"/>
                <w:bCs/>
                <w:color w:val="000000"/>
              </w:rPr>
              <w:t xml:space="preserve">Deputy Director of Nursing and Quality </w:t>
            </w:r>
          </w:p>
        </w:tc>
        <w:tc>
          <w:tcPr>
            <w:tcW w:w="1417" w:type="dxa"/>
          </w:tcPr>
          <w:p w14:paraId="6A2EDDD3" w14:textId="77777777" w:rsidR="00796969" w:rsidRDefault="00796969" w:rsidP="004B04C6">
            <w:pPr>
              <w:pBdr>
                <w:top w:val="nil"/>
                <w:left w:val="nil"/>
                <w:bottom w:val="nil"/>
                <w:right w:val="nil"/>
                <w:between w:val="nil"/>
              </w:pBdr>
              <w:spacing w:before="40" w:after="40" w:line="240" w:lineRule="auto"/>
              <w:rPr>
                <w:rFonts w:eastAsia="Arial" w:cs="Arial"/>
                <w:b/>
                <w:color w:val="000000"/>
              </w:rPr>
            </w:pPr>
          </w:p>
        </w:tc>
      </w:tr>
      <w:tr w:rsidR="00796969" w14:paraId="043D483A" w14:textId="77777777" w:rsidTr="00796969">
        <w:trPr>
          <w:trHeight w:val="567"/>
        </w:trPr>
        <w:tc>
          <w:tcPr>
            <w:tcW w:w="1560" w:type="dxa"/>
            <w:tcBorders>
              <w:top w:val="single" w:sz="4" w:space="0" w:color="000000"/>
              <w:left w:val="single" w:sz="4" w:space="0" w:color="000000"/>
              <w:bottom w:val="single" w:sz="4" w:space="0" w:color="000000"/>
              <w:right w:val="single" w:sz="4" w:space="0" w:color="000000"/>
            </w:tcBorders>
          </w:tcPr>
          <w:p w14:paraId="74EB2CCE" w14:textId="77777777" w:rsidR="00796969" w:rsidRPr="0015328C" w:rsidRDefault="00796969" w:rsidP="004B04C6">
            <w:pPr>
              <w:pBdr>
                <w:top w:val="nil"/>
                <w:left w:val="nil"/>
                <w:bottom w:val="nil"/>
                <w:right w:val="nil"/>
                <w:between w:val="nil"/>
              </w:pBdr>
              <w:spacing w:before="40" w:after="40" w:line="240" w:lineRule="auto"/>
              <w:rPr>
                <w:rFonts w:eastAsia="Arial" w:cs="Arial"/>
                <w:b/>
                <w:color w:val="000000"/>
                <w:sz w:val="24"/>
                <w:szCs w:val="24"/>
              </w:rPr>
            </w:pPr>
            <w:r w:rsidRPr="0015328C">
              <w:rPr>
                <w:rFonts w:eastAsia="Arial" w:cs="Arial"/>
                <w:b/>
                <w:color w:val="000000"/>
                <w:sz w:val="24"/>
                <w:szCs w:val="24"/>
              </w:rPr>
              <w:t>Authoriser</w:t>
            </w:r>
          </w:p>
        </w:tc>
        <w:tc>
          <w:tcPr>
            <w:tcW w:w="1559" w:type="dxa"/>
            <w:tcBorders>
              <w:left w:val="nil"/>
            </w:tcBorders>
          </w:tcPr>
          <w:p w14:paraId="7D22D39E" w14:textId="090131DC" w:rsidR="00796969" w:rsidRPr="00C204FD" w:rsidRDefault="00796969" w:rsidP="004B04C6">
            <w:pPr>
              <w:pBdr>
                <w:top w:val="nil"/>
                <w:left w:val="nil"/>
                <w:bottom w:val="nil"/>
                <w:right w:val="nil"/>
                <w:between w:val="nil"/>
              </w:pBdr>
              <w:spacing w:before="40" w:after="40" w:line="240" w:lineRule="auto"/>
              <w:rPr>
                <w:rFonts w:eastAsia="Arial" w:cs="Arial"/>
                <w:bCs/>
                <w:color w:val="000000"/>
              </w:rPr>
            </w:pPr>
            <w:r w:rsidRPr="00C204FD">
              <w:rPr>
                <w:rFonts w:eastAsia="Arial" w:cs="Arial"/>
                <w:bCs/>
                <w:color w:val="000000"/>
              </w:rPr>
              <w:t>Steph Lawrence</w:t>
            </w:r>
          </w:p>
        </w:tc>
        <w:tc>
          <w:tcPr>
            <w:tcW w:w="5387" w:type="dxa"/>
            <w:tcBorders>
              <w:left w:val="nil"/>
              <w:right w:val="single" w:sz="4" w:space="0" w:color="000000"/>
            </w:tcBorders>
          </w:tcPr>
          <w:p w14:paraId="3C1D4D1C" w14:textId="307AE19B" w:rsidR="00796969" w:rsidRPr="00C204FD" w:rsidRDefault="00796969" w:rsidP="004B04C6">
            <w:pPr>
              <w:pBdr>
                <w:top w:val="nil"/>
                <w:left w:val="nil"/>
                <w:bottom w:val="nil"/>
                <w:right w:val="nil"/>
                <w:between w:val="nil"/>
              </w:pBdr>
              <w:spacing w:before="40" w:after="40" w:line="240" w:lineRule="auto"/>
              <w:rPr>
                <w:rFonts w:eastAsia="Arial" w:cs="Arial"/>
                <w:bCs/>
                <w:color w:val="000000"/>
              </w:rPr>
            </w:pPr>
            <w:r w:rsidRPr="00C204FD">
              <w:rPr>
                <w:rFonts w:eastAsia="Arial" w:cs="Arial"/>
                <w:bCs/>
                <w:color w:val="000000"/>
              </w:rPr>
              <w:t>Executive Director of Nursing and Allied Health Professionals</w:t>
            </w:r>
          </w:p>
        </w:tc>
        <w:tc>
          <w:tcPr>
            <w:tcW w:w="1417" w:type="dxa"/>
          </w:tcPr>
          <w:p w14:paraId="3DB92E98" w14:textId="77777777" w:rsidR="00796969" w:rsidRDefault="00796969" w:rsidP="004B04C6">
            <w:pPr>
              <w:pBdr>
                <w:top w:val="nil"/>
                <w:left w:val="nil"/>
                <w:bottom w:val="nil"/>
                <w:right w:val="nil"/>
                <w:between w:val="nil"/>
              </w:pBdr>
              <w:spacing w:before="40" w:after="40" w:line="240" w:lineRule="auto"/>
              <w:rPr>
                <w:rFonts w:eastAsia="Arial" w:cs="Arial"/>
                <w:b/>
                <w:color w:val="000000"/>
              </w:rPr>
            </w:pPr>
          </w:p>
        </w:tc>
      </w:tr>
      <w:tr w:rsidR="00796969" w14:paraId="4AFA435C" w14:textId="77777777" w:rsidTr="00796969">
        <w:trPr>
          <w:trHeight w:val="567"/>
        </w:trPr>
        <w:tc>
          <w:tcPr>
            <w:tcW w:w="1560" w:type="dxa"/>
            <w:tcBorders>
              <w:top w:val="single" w:sz="4" w:space="0" w:color="000000"/>
              <w:left w:val="single" w:sz="4" w:space="0" w:color="000000"/>
              <w:bottom w:val="single" w:sz="4" w:space="0" w:color="000000"/>
              <w:right w:val="single" w:sz="4" w:space="0" w:color="000000"/>
            </w:tcBorders>
          </w:tcPr>
          <w:p w14:paraId="6FC97F6D" w14:textId="54EFE53C" w:rsidR="00796969" w:rsidRPr="0015328C" w:rsidRDefault="00796969" w:rsidP="004B04C6">
            <w:pPr>
              <w:pBdr>
                <w:top w:val="nil"/>
                <w:left w:val="nil"/>
                <w:bottom w:val="nil"/>
                <w:right w:val="nil"/>
                <w:between w:val="nil"/>
              </w:pBdr>
              <w:spacing w:before="40" w:after="40" w:line="240" w:lineRule="auto"/>
              <w:rPr>
                <w:rFonts w:eastAsia="Arial" w:cs="Arial"/>
                <w:b/>
                <w:color w:val="000000"/>
                <w:sz w:val="24"/>
                <w:szCs w:val="24"/>
              </w:rPr>
            </w:pPr>
            <w:r>
              <w:rPr>
                <w:rFonts w:eastAsia="Arial" w:cs="Arial"/>
                <w:b/>
                <w:color w:val="000000"/>
                <w:sz w:val="24"/>
                <w:szCs w:val="24"/>
              </w:rPr>
              <w:t xml:space="preserve">Approved </w:t>
            </w:r>
          </w:p>
        </w:tc>
        <w:tc>
          <w:tcPr>
            <w:tcW w:w="1559" w:type="dxa"/>
            <w:tcBorders>
              <w:left w:val="nil"/>
            </w:tcBorders>
          </w:tcPr>
          <w:p w14:paraId="202A779A" w14:textId="10B70D3A" w:rsidR="00796969" w:rsidRPr="00C204FD" w:rsidRDefault="00796969" w:rsidP="004B04C6">
            <w:pPr>
              <w:pBdr>
                <w:top w:val="nil"/>
                <w:left w:val="nil"/>
                <w:bottom w:val="nil"/>
                <w:right w:val="nil"/>
                <w:between w:val="nil"/>
              </w:pBdr>
              <w:spacing w:before="40" w:after="40" w:line="240" w:lineRule="auto"/>
              <w:rPr>
                <w:rFonts w:eastAsia="Arial" w:cs="Arial"/>
                <w:bCs/>
                <w:color w:val="000000"/>
              </w:rPr>
            </w:pPr>
            <w:r>
              <w:rPr>
                <w:rFonts w:eastAsia="Arial" w:cs="Arial"/>
                <w:bCs/>
                <w:color w:val="000000"/>
              </w:rPr>
              <w:t xml:space="preserve">Trust Board  </w:t>
            </w:r>
          </w:p>
        </w:tc>
        <w:tc>
          <w:tcPr>
            <w:tcW w:w="5387" w:type="dxa"/>
            <w:tcBorders>
              <w:left w:val="nil"/>
              <w:right w:val="single" w:sz="4" w:space="0" w:color="000000"/>
            </w:tcBorders>
          </w:tcPr>
          <w:p w14:paraId="183B244B" w14:textId="59832D6E" w:rsidR="00796969" w:rsidRPr="00C204FD" w:rsidRDefault="00796969" w:rsidP="004B04C6">
            <w:pPr>
              <w:pBdr>
                <w:top w:val="nil"/>
                <w:left w:val="nil"/>
                <w:bottom w:val="nil"/>
                <w:right w:val="nil"/>
                <w:between w:val="nil"/>
              </w:pBdr>
              <w:spacing w:before="40" w:after="40" w:line="240" w:lineRule="auto"/>
              <w:rPr>
                <w:rFonts w:eastAsia="Arial" w:cs="Arial"/>
                <w:bCs/>
                <w:color w:val="000000"/>
              </w:rPr>
            </w:pPr>
          </w:p>
        </w:tc>
        <w:tc>
          <w:tcPr>
            <w:tcW w:w="1417" w:type="dxa"/>
          </w:tcPr>
          <w:p w14:paraId="0BDA2641" w14:textId="09F51C3A" w:rsidR="00796969" w:rsidRPr="00796969" w:rsidRDefault="00796969" w:rsidP="004B04C6">
            <w:pPr>
              <w:pBdr>
                <w:top w:val="nil"/>
                <w:left w:val="nil"/>
                <w:bottom w:val="nil"/>
                <w:right w:val="nil"/>
                <w:between w:val="nil"/>
              </w:pBdr>
              <w:spacing w:before="40" w:after="40" w:line="240" w:lineRule="auto"/>
              <w:rPr>
                <w:rFonts w:eastAsia="Arial" w:cs="Arial"/>
                <w:bCs/>
                <w:color w:val="000000"/>
              </w:rPr>
            </w:pPr>
            <w:r>
              <w:rPr>
                <w:rFonts w:eastAsia="Arial" w:cs="Arial"/>
                <w:bCs/>
                <w:color w:val="000000"/>
              </w:rPr>
              <w:t>0</w:t>
            </w:r>
            <w:r w:rsidRPr="00796969">
              <w:rPr>
                <w:rFonts w:eastAsia="Arial" w:cs="Arial"/>
                <w:bCs/>
                <w:color w:val="000000"/>
              </w:rPr>
              <w:t>2/</w:t>
            </w:r>
            <w:r>
              <w:rPr>
                <w:rFonts w:eastAsia="Arial" w:cs="Arial"/>
                <w:bCs/>
                <w:color w:val="000000"/>
              </w:rPr>
              <w:t>0</w:t>
            </w:r>
            <w:r w:rsidRPr="00796969">
              <w:rPr>
                <w:rFonts w:eastAsia="Arial" w:cs="Arial"/>
                <w:bCs/>
                <w:color w:val="000000"/>
              </w:rPr>
              <w:t>2/</w:t>
            </w:r>
            <w:r>
              <w:rPr>
                <w:rFonts w:eastAsia="Arial" w:cs="Arial"/>
                <w:bCs/>
                <w:color w:val="000000"/>
              </w:rPr>
              <w:t>20</w:t>
            </w:r>
            <w:r w:rsidRPr="00796969">
              <w:rPr>
                <w:rFonts w:eastAsia="Arial" w:cs="Arial"/>
                <w:bCs/>
                <w:color w:val="000000"/>
              </w:rPr>
              <w:t>24</w:t>
            </w:r>
          </w:p>
        </w:tc>
      </w:tr>
    </w:tbl>
    <w:sdt>
      <w:sdtPr>
        <w:rPr>
          <w:rFonts w:eastAsiaTheme="minorHAnsi" w:cs="Arial"/>
          <w:b w:val="0"/>
          <w:bCs w:val="0"/>
          <w:color w:val="auto"/>
          <w:sz w:val="24"/>
          <w:szCs w:val="24"/>
          <w:lang w:val="en-GB" w:eastAsia="en-US"/>
        </w:rPr>
        <w:id w:val="2062751647"/>
        <w:docPartObj>
          <w:docPartGallery w:val="Table of Contents"/>
          <w:docPartUnique/>
        </w:docPartObj>
      </w:sdtPr>
      <w:sdtEndPr>
        <w:rPr>
          <w:noProof/>
        </w:rPr>
      </w:sdtEndPr>
      <w:sdtContent>
        <w:p w14:paraId="4A11414F" w14:textId="77777777" w:rsidR="00796969" w:rsidRDefault="00796969" w:rsidP="00796969">
          <w:pPr>
            <w:pStyle w:val="TOCHeading"/>
            <w:spacing w:before="0"/>
          </w:pPr>
        </w:p>
        <w:p w14:paraId="3E0885BA" w14:textId="7EFF2D1B" w:rsidR="00CB1F58" w:rsidRPr="00796969" w:rsidRDefault="004E47D0" w:rsidP="00796969">
          <w:pPr>
            <w:pStyle w:val="TOC1"/>
            <w:spacing w:after="0"/>
            <w:rPr>
              <w:rFonts w:cs="Arial"/>
              <w:b/>
              <w:bCs/>
              <w:noProof/>
              <w:sz w:val="24"/>
              <w:szCs w:val="24"/>
            </w:rPr>
          </w:pPr>
        </w:p>
      </w:sdtContent>
    </w:sdt>
    <w:p w14:paraId="3A534F1C" w14:textId="77777777" w:rsidR="00796969" w:rsidRPr="00796969" w:rsidRDefault="00796969" w:rsidP="00796969">
      <w:pPr>
        <w:spacing w:after="0"/>
        <w:rPr>
          <w:rFonts w:eastAsia="Calibri" w:cs="Arial"/>
          <w:b/>
          <w:sz w:val="24"/>
          <w:szCs w:val="24"/>
        </w:rPr>
      </w:pPr>
      <w:r w:rsidRPr="00796969">
        <w:rPr>
          <w:rFonts w:eastAsia="Calibri" w:cs="Arial"/>
          <w:b/>
          <w:sz w:val="24"/>
          <w:szCs w:val="24"/>
        </w:rPr>
        <w:t>Contents</w:t>
      </w:r>
    </w:p>
    <w:p w14:paraId="290EA670" w14:textId="2ED56BDB" w:rsidR="00796969" w:rsidRPr="00796969" w:rsidRDefault="00796969" w:rsidP="00796969">
      <w:pPr>
        <w:spacing w:after="0"/>
        <w:rPr>
          <w:rFonts w:eastAsia="Calibri" w:cs="Arial"/>
          <w:bCs/>
          <w:sz w:val="24"/>
          <w:szCs w:val="24"/>
        </w:rPr>
      </w:pPr>
      <w:r w:rsidRPr="00796969">
        <w:rPr>
          <w:rFonts w:eastAsia="Calibri" w:cs="Arial"/>
          <w:bCs/>
          <w:sz w:val="24"/>
          <w:szCs w:val="24"/>
        </w:rPr>
        <w:t>Introduction</w:t>
      </w:r>
      <w:r w:rsidRPr="00796969">
        <w:rPr>
          <w:rFonts w:eastAsia="Calibri" w:cs="Arial"/>
          <w:bCs/>
          <w:sz w:val="24"/>
          <w:szCs w:val="24"/>
        </w:rPr>
        <w:tab/>
      </w:r>
      <w:r>
        <w:rPr>
          <w:rFonts w:eastAsia="Calibri" w:cs="Arial"/>
          <w:bCs/>
          <w:sz w:val="24"/>
          <w:szCs w:val="24"/>
        </w:rPr>
        <w:tab/>
      </w:r>
      <w:r>
        <w:rPr>
          <w:rFonts w:eastAsia="Calibri" w:cs="Arial"/>
          <w:bCs/>
          <w:sz w:val="24"/>
          <w:szCs w:val="24"/>
        </w:rPr>
        <w:tab/>
      </w:r>
      <w:r>
        <w:rPr>
          <w:rFonts w:eastAsia="Calibri" w:cs="Arial"/>
          <w:bCs/>
          <w:sz w:val="24"/>
          <w:szCs w:val="24"/>
        </w:rPr>
        <w:tab/>
      </w:r>
      <w:r>
        <w:rPr>
          <w:rFonts w:eastAsia="Calibri" w:cs="Arial"/>
          <w:bCs/>
          <w:sz w:val="24"/>
          <w:szCs w:val="24"/>
        </w:rPr>
        <w:tab/>
      </w:r>
      <w:r>
        <w:rPr>
          <w:rFonts w:eastAsia="Calibri" w:cs="Arial"/>
          <w:bCs/>
          <w:sz w:val="24"/>
          <w:szCs w:val="24"/>
        </w:rPr>
        <w:tab/>
      </w:r>
      <w:r>
        <w:rPr>
          <w:rFonts w:eastAsia="Calibri" w:cs="Arial"/>
          <w:bCs/>
          <w:sz w:val="24"/>
          <w:szCs w:val="24"/>
        </w:rPr>
        <w:tab/>
      </w:r>
      <w:r>
        <w:rPr>
          <w:rFonts w:eastAsia="Calibri" w:cs="Arial"/>
          <w:bCs/>
          <w:sz w:val="24"/>
          <w:szCs w:val="24"/>
        </w:rPr>
        <w:tab/>
      </w:r>
      <w:r>
        <w:rPr>
          <w:rFonts w:eastAsia="Calibri" w:cs="Arial"/>
          <w:bCs/>
          <w:sz w:val="24"/>
          <w:szCs w:val="24"/>
        </w:rPr>
        <w:tab/>
        <w:t>2</w:t>
      </w:r>
    </w:p>
    <w:p w14:paraId="3213D22F" w14:textId="53BD53DA" w:rsidR="00796969" w:rsidRPr="00796969" w:rsidRDefault="00796969" w:rsidP="00796969">
      <w:pPr>
        <w:spacing w:after="0"/>
        <w:rPr>
          <w:rFonts w:eastAsia="Calibri" w:cs="Arial"/>
          <w:bCs/>
          <w:sz w:val="24"/>
          <w:szCs w:val="24"/>
        </w:rPr>
      </w:pPr>
      <w:r w:rsidRPr="00796969">
        <w:rPr>
          <w:rFonts w:eastAsia="Calibri" w:cs="Arial"/>
          <w:bCs/>
          <w:sz w:val="24"/>
          <w:szCs w:val="24"/>
        </w:rPr>
        <w:t>Our services</w:t>
      </w:r>
      <w:r w:rsidRPr="00796969">
        <w:rPr>
          <w:rFonts w:eastAsia="Calibri" w:cs="Arial"/>
          <w:bCs/>
          <w:sz w:val="24"/>
          <w:szCs w:val="24"/>
        </w:rPr>
        <w:tab/>
      </w:r>
      <w:r>
        <w:rPr>
          <w:rFonts w:eastAsia="Calibri" w:cs="Arial"/>
          <w:bCs/>
          <w:sz w:val="24"/>
          <w:szCs w:val="24"/>
        </w:rPr>
        <w:tab/>
      </w:r>
      <w:r>
        <w:rPr>
          <w:rFonts w:eastAsia="Calibri" w:cs="Arial"/>
          <w:bCs/>
          <w:sz w:val="24"/>
          <w:szCs w:val="24"/>
        </w:rPr>
        <w:tab/>
      </w:r>
      <w:r>
        <w:rPr>
          <w:rFonts w:eastAsia="Calibri" w:cs="Arial"/>
          <w:bCs/>
          <w:sz w:val="24"/>
          <w:szCs w:val="24"/>
        </w:rPr>
        <w:tab/>
      </w:r>
      <w:r>
        <w:rPr>
          <w:rFonts w:eastAsia="Calibri" w:cs="Arial"/>
          <w:bCs/>
          <w:sz w:val="24"/>
          <w:szCs w:val="24"/>
        </w:rPr>
        <w:tab/>
      </w:r>
      <w:r>
        <w:rPr>
          <w:rFonts w:eastAsia="Calibri" w:cs="Arial"/>
          <w:bCs/>
          <w:sz w:val="24"/>
          <w:szCs w:val="24"/>
        </w:rPr>
        <w:tab/>
      </w:r>
      <w:r>
        <w:rPr>
          <w:rFonts w:eastAsia="Calibri" w:cs="Arial"/>
          <w:bCs/>
          <w:sz w:val="24"/>
          <w:szCs w:val="24"/>
        </w:rPr>
        <w:tab/>
      </w:r>
      <w:r>
        <w:rPr>
          <w:rFonts w:eastAsia="Calibri" w:cs="Arial"/>
          <w:bCs/>
          <w:sz w:val="24"/>
          <w:szCs w:val="24"/>
        </w:rPr>
        <w:tab/>
      </w:r>
      <w:r>
        <w:rPr>
          <w:rFonts w:eastAsia="Calibri" w:cs="Arial"/>
          <w:bCs/>
          <w:sz w:val="24"/>
          <w:szCs w:val="24"/>
        </w:rPr>
        <w:tab/>
        <w:t>3</w:t>
      </w:r>
    </w:p>
    <w:p w14:paraId="3D731118" w14:textId="1F1C7F21" w:rsidR="00796969" w:rsidRPr="00796969" w:rsidRDefault="00796969" w:rsidP="00796969">
      <w:pPr>
        <w:spacing w:after="0"/>
        <w:rPr>
          <w:rFonts w:eastAsia="Calibri" w:cs="Arial"/>
          <w:bCs/>
          <w:sz w:val="24"/>
          <w:szCs w:val="24"/>
        </w:rPr>
      </w:pPr>
      <w:r w:rsidRPr="00796969">
        <w:rPr>
          <w:rFonts w:eastAsia="Calibri" w:cs="Arial"/>
          <w:bCs/>
          <w:sz w:val="24"/>
          <w:szCs w:val="24"/>
        </w:rPr>
        <w:t>Defining our patient safety incident profile</w:t>
      </w:r>
      <w:r w:rsidRPr="00796969">
        <w:rPr>
          <w:rFonts w:eastAsia="Calibri" w:cs="Arial"/>
          <w:bCs/>
          <w:sz w:val="24"/>
          <w:szCs w:val="24"/>
        </w:rPr>
        <w:tab/>
      </w:r>
      <w:r>
        <w:rPr>
          <w:rFonts w:eastAsia="Calibri" w:cs="Arial"/>
          <w:bCs/>
          <w:sz w:val="24"/>
          <w:szCs w:val="24"/>
        </w:rPr>
        <w:tab/>
      </w:r>
      <w:r>
        <w:rPr>
          <w:rFonts w:eastAsia="Calibri" w:cs="Arial"/>
          <w:bCs/>
          <w:sz w:val="24"/>
          <w:szCs w:val="24"/>
        </w:rPr>
        <w:tab/>
      </w:r>
      <w:r>
        <w:rPr>
          <w:rFonts w:eastAsia="Calibri" w:cs="Arial"/>
          <w:bCs/>
          <w:sz w:val="24"/>
          <w:szCs w:val="24"/>
        </w:rPr>
        <w:tab/>
        <w:t>4</w:t>
      </w:r>
    </w:p>
    <w:p w14:paraId="02638C28" w14:textId="5E725B50" w:rsidR="00796969" w:rsidRPr="00796969" w:rsidRDefault="00796969" w:rsidP="00796969">
      <w:pPr>
        <w:spacing w:after="0"/>
        <w:rPr>
          <w:rFonts w:eastAsia="Calibri" w:cs="Arial"/>
          <w:bCs/>
          <w:sz w:val="24"/>
          <w:szCs w:val="24"/>
        </w:rPr>
      </w:pPr>
      <w:r w:rsidRPr="00796969">
        <w:rPr>
          <w:rFonts w:eastAsia="Calibri" w:cs="Arial"/>
          <w:bCs/>
          <w:sz w:val="24"/>
          <w:szCs w:val="24"/>
        </w:rPr>
        <w:t>Defining our patient safety improvement profile</w:t>
      </w:r>
      <w:r w:rsidRPr="00796969">
        <w:rPr>
          <w:rFonts w:eastAsia="Calibri" w:cs="Arial"/>
          <w:bCs/>
          <w:sz w:val="24"/>
          <w:szCs w:val="24"/>
        </w:rPr>
        <w:tab/>
      </w:r>
      <w:r>
        <w:rPr>
          <w:rFonts w:eastAsia="Calibri" w:cs="Arial"/>
          <w:bCs/>
          <w:sz w:val="24"/>
          <w:szCs w:val="24"/>
        </w:rPr>
        <w:tab/>
      </w:r>
      <w:r>
        <w:rPr>
          <w:rFonts w:eastAsia="Calibri" w:cs="Arial"/>
          <w:bCs/>
          <w:sz w:val="24"/>
          <w:szCs w:val="24"/>
        </w:rPr>
        <w:tab/>
      </w:r>
      <w:r>
        <w:rPr>
          <w:rFonts w:eastAsia="Calibri" w:cs="Arial"/>
          <w:bCs/>
          <w:sz w:val="24"/>
          <w:szCs w:val="24"/>
        </w:rPr>
        <w:tab/>
        <w:t>4-8</w:t>
      </w:r>
    </w:p>
    <w:p w14:paraId="4004841E" w14:textId="1CBB030D" w:rsidR="00796969" w:rsidRPr="00796969" w:rsidRDefault="00796969" w:rsidP="00796969">
      <w:pPr>
        <w:spacing w:after="0"/>
        <w:rPr>
          <w:rFonts w:eastAsia="Calibri" w:cs="Arial"/>
          <w:bCs/>
          <w:sz w:val="24"/>
          <w:szCs w:val="24"/>
        </w:rPr>
      </w:pPr>
      <w:r w:rsidRPr="00796969">
        <w:rPr>
          <w:rFonts w:eastAsia="Calibri" w:cs="Arial"/>
          <w:bCs/>
          <w:sz w:val="24"/>
          <w:szCs w:val="24"/>
        </w:rPr>
        <w:t>Our patient safety incident response plan: national requirements</w:t>
      </w:r>
      <w:r w:rsidRPr="00796969">
        <w:rPr>
          <w:rFonts w:eastAsia="Calibri" w:cs="Arial"/>
          <w:bCs/>
          <w:sz w:val="24"/>
          <w:szCs w:val="24"/>
        </w:rPr>
        <w:tab/>
      </w:r>
      <w:r>
        <w:rPr>
          <w:rFonts w:eastAsia="Calibri" w:cs="Arial"/>
          <w:bCs/>
          <w:sz w:val="24"/>
          <w:szCs w:val="24"/>
        </w:rPr>
        <w:t>8</w:t>
      </w:r>
    </w:p>
    <w:p w14:paraId="1A904B88" w14:textId="77777777" w:rsidR="00796969" w:rsidRDefault="00796969" w:rsidP="00796969">
      <w:pPr>
        <w:spacing w:after="0"/>
        <w:rPr>
          <w:rFonts w:eastAsia="Calibri" w:cs="Arial"/>
          <w:bCs/>
          <w:sz w:val="24"/>
          <w:szCs w:val="24"/>
        </w:rPr>
      </w:pPr>
      <w:r w:rsidRPr="00796969">
        <w:rPr>
          <w:rFonts w:eastAsia="Calibri" w:cs="Arial"/>
          <w:bCs/>
          <w:sz w:val="24"/>
          <w:szCs w:val="24"/>
        </w:rPr>
        <w:t>Our patient safety incident response plan: local focus</w:t>
      </w:r>
      <w:r w:rsidRPr="00796969">
        <w:rPr>
          <w:rFonts w:eastAsia="Calibri" w:cs="Arial"/>
          <w:bCs/>
          <w:sz w:val="24"/>
          <w:szCs w:val="24"/>
        </w:rPr>
        <w:tab/>
      </w:r>
      <w:r>
        <w:rPr>
          <w:rFonts w:eastAsia="Calibri" w:cs="Arial"/>
          <w:bCs/>
          <w:sz w:val="24"/>
          <w:szCs w:val="24"/>
        </w:rPr>
        <w:tab/>
      </w:r>
      <w:r>
        <w:rPr>
          <w:rFonts w:eastAsia="Calibri" w:cs="Arial"/>
          <w:bCs/>
          <w:sz w:val="24"/>
          <w:szCs w:val="24"/>
        </w:rPr>
        <w:tab/>
      </w:r>
      <w:r w:rsidRPr="00796969">
        <w:rPr>
          <w:rFonts w:eastAsia="Calibri" w:cs="Arial"/>
          <w:bCs/>
          <w:sz w:val="24"/>
          <w:szCs w:val="24"/>
        </w:rPr>
        <w:t>8</w:t>
      </w:r>
      <w:r>
        <w:rPr>
          <w:rFonts w:eastAsia="Calibri" w:cs="Arial"/>
          <w:bCs/>
          <w:sz w:val="24"/>
          <w:szCs w:val="24"/>
        </w:rPr>
        <w:t>-9</w:t>
      </w:r>
    </w:p>
    <w:p w14:paraId="1A84764F" w14:textId="5AE4FEB2" w:rsidR="00F17175" w:rsidRPr="004B64CE" w:rsidRDefault="00796969" w:rsidP="00796969">
      <w:pPr>
        <w:spacing w:after="0"/>
        <w:rPr>
          <w:rFonts w:eastAsia="Calibri" w:cs="Arial"/>
          <w:b/>
          <w:color w:val="00B050"/>
          <w:sz w:val="24"/>
          <w:szCs w:val="24"/>
        </w:rPr>
      </w:pPr>
      <w:r>
        <w:rPr>
          <w:rFonts w:eastAsia="Calibri" w:cs="Arial"/>
          <w:bCs/>
          <w:sz w:val="24"/>
          <w:szCs w:val="24"/>
        </w:rPr>
        <w:t>Appendices</w:t>
      </w:r>
      <w:r>
        <w:rPr>
          <w:rFonts w:eastAsia="Calibri" w:cs="Arial"/>
          <w:bCs/>
          <w:sz w:val="24"/>
          <w:szCs w:val="24"/>
        </w:rPr>
        <w:tab/>
      </w:r>
      <w:r>
        <w:rPr>
          <w:rFonts w:eastAsia="Calibri" w:cs="Arial"/>
          <w:bCs/>
          <w:sz w:val="24"/>
          <w:szCs w:val="24"/>
        </w:rPr>
        <w:tab/>
      </w:r>
      <w:r>
        <w:rPr>
          <w:rFonts w:eastAsia="Calibri" w:cs="Arial"/>
          <w:bCs/>
          <w:sz w:val="24"/>
          <w:szCs w:val="24"/>
        </w:rPr>
        <w:tab/>
      </w:r>
      <w:r>
        <w:rPr>
          <w:rFonts w:eastAsia="Calibri" w:cs="Arial"/>
          <w:bCs/>
          <w:sz w:val="24"/>
          <w:szCs w:val="24"/>
        </w:rPr>
        <w:tab/>
      </w:r>
      <w:r>
        <w:rPr>
          <w:rFonts w:eastAsia="Calibri" w:cs="Arial"/>
          <w:bCs/>
          <w:sz w:val="24"/>
          <w:szCs w:val="24"/>
        </w:rPr>
        <w:tab/>
      </w:r>
      <w:r>
        <w:rPr>
          <w:rFonts w:eastAsia="Calibri" w:cs="Arial"/>
          <w:bCs/>
          <w:sz w:val="24"/>
          <w:szCs w:val="24"/>
        </w:rPr>
        <w:tab/>
      </w:r>
      <w:r>
        <w:rPr>
          <w:rFonts w:eastAsia="Calibri" w:cs="Arial"/>
          <w:bCs/>
          <w:sz w:val="24"/>
          <w:szCs w:val="24"/>
        </w:rPr>
        <w:tab/>
      </w:r>
      <w:r>
        <w:rPr>
          <w:rFonts w:eastAsia="Calibri" w:cs="Arial"/>
          <w:bCs/>
          <w:sz w:val="24"/>
          <w:szCs w:val="24"/>
        </w:rPr>
        <w:tab/>
      </w:r>
      <w:r>
        <w:rPr>
          <w:rFonts w:eastAsia="Calibri" w:cs="Arial"/>
          <w:bCs/>
          <w:sz w:val="24"/>
          <w:szCs w:val="24"/>
        </w:rPr>
        <w:tab/>
        <w:t>10-16</w:t>
      </w:r>
      <w:r w:rsidR="00F17175" w:rsidRPr="004B64CE">
        <w:rPr>
          <w:rFonts w:eastAsia="Calibri" w:cs="Arial"/>
          <w:b/>
          <w:color w:val="00B050"/>
          <w:sz w:val="24"/>
          <w:szCs w:val="24"/>
        </w:rPr>
        <w:br w:type="page"/>
      </w:r>
    </w:p>
    <w:p w14:paraId="15D66457" w14:textId="03384683" w:rsidR="00E9385E" w:rsidRPr="001018D6" w:rsidRDefault="006806EF" w:rsidP="004B64CE">
      <w:pPr>
        <w:pStyle w:val="Heading1"/>
        <w:spacing w:before="0"/>
        <w:ind w:left="-284"/>
        <w:rPr>
          <w:rFonts w:eastAsia="Calibri" w:cs="Arial"/>
          <w:color w:val="005EB8"/>
        </w:rPr>
      </w:pPr>
      <w:r w:rsidRPr="001018D6">
        <w:rPr>
          <w:rFonts w:eastAsia="Calibri" w:cs="Arial"/>
          <w:color w:val="005EB8"/>
        </w:rPr>
        <w:lastRenderedPageBreak/>
        <w:t>Introduction</w:t>
      </w:r>
    </w:p>
    <w:p w14:paraId="7225392C" w14:textId="3982D9A5" w:rsidR="00C204FD" w:rsidRDefault="00A75AD7" w:rsidP="004B64CE">
      <w:pPr>
        <w:spacing w:after="0" w:line="360" w:lineRule="atLeast"/>
        <w:ind w:left="-284" w:right="119"/>
        <w:rPr>
          <w:rFonts w:cs="Arial"/>
          <w:sz w:val="24"/>
          <w:szCs w:val="24"/>
        </w:rPr>
      </w:pPr>
      <w:bookmarkStart w:id="0" w:name="_Toc47518812"/>
      <w:r w:rsidRPr="004B64CE">
        <w:rPr>
          <w:rFonts w:cs="Arial"/>
          <w:sz w:val="24"/>
          <w:szCs w:val="24"/>
        </w:rPr>
        <w:t xml:space="preserve">The NHS Patient Safety Strategy </w:t>
      </w:r>
      <w:hyperlink r:id="rId11" w:history="1">
        <w:r w:rsidR="000C200D">
          <w:rPr>
            <w:rStyle w:val="Hyperlink"/>
            <w:rFonts w:cs="Arial"/>
            <w:sz w:val="24"/>
            <w:szCs w:val="24"/>
          </w:rPr>
          <w:t>available here</w:t>
        </w:r>
      </w:hyperlink>
      <w:r w:rsidR="005B287A">
        <w:rPr>
          <w:rFonts w:cs="Arial"/>
          <w:sz w:val="24"/>
          <w:szCs w:val="24"/>
        </w:rPr>
        <w:t xml:space="preserve"> </w:t>
      </w:r>
      <w:r w:rsidRPr="004B64CE">
        <w:rPr>
          <w:rFonts w:cs="Arial"/>
          <w:sz w:val="24"/>
          <w:szCs w:val="24"/>
        </w:rPr>
        <w:t xml:space="preserve">was published in 2019 and describes the Patient Safety Incident Response Framework (PSIRF), a replacement for the NHS Serious Incident Framework (2015). </w:t>
      </w:r>
    </w:p>
    <w:p w14:paraId="77C6C226" w14:textId="77777777" w:rsidR="00C204FD" w:rsidRDefault="00C204FD" w:rsidP="004B64CE">
      <w:pPr>
        <w:spacing w:after="0" w:line="360" w:lineRule="atLeast"/>
        <w:ind w:left="-284" w:right="119"/>
        <w:rPr>
          <w:rFonts w:cs="Arial"/>
          <w:sz w:val="24"/>
          <w:szCs w:val="24"/>
        </w:rPr>
      </w:pPr>
    </w:p>
    <w:p w14:paraId="72B49845" w14:textId="21F2A86E" w:rsidR="00EC24B8" w:rsidRDefault="00A75AD7" w:rsidP="004B64CE">
      <w:pPr>
        <w:spacing w:after="0" w:line="360" w:lineRule="atLeast"/>
        <w:ind w:left="-284" w:right="119"/>
        <w:rPr>
          <w:rFonts w:cs="Arial"/>
          <w:sz w:val="24"/>
          <w:szCs w:val="24"/>
        </w:rPr>
      </w:pPr>
      <w:r w:rsidRPr="004B64CE">
        <w:rPr>
          <w:rFonts w:cs="Arial"/>
          <w:sz w:val="24"/>
          <w:szCs w:val="24"/>
        </w:rPr>
        <w:t>The PSIRF challenges us to think and respond differently when a patient safety incident occurs. PSIRF is best considered as a learning and improvement framework with emphasis placed on the system and culture that support continuous improvement</w:t>
      </w:r>
      <w:r w:rsidR="00C204FD">
        <w:rPr>
          <w:rFonts w:cs="Arial"/>
          <w:sz w:val="24"/>
          <w:szCs w:val="24"/>
        </w:rPr>
        <w:t xml:space="preserve">. </w:t>
      </w:r>
      <w:r w:rsidRPr="004B64CE">
        <w:rPr>
          <w:rFonts w:cs="Arial"/>
          <w:sz w:val="24"/>
          <w:szCs w:val="24"/>
        </w:rPr>
        <w:t xml:space="preserve">One of the underpinning principles of PSIRF is to do fewer “investigations” but to do them better with a focus on improving quality and safety. </w:t>
      </w:r>
    </w:p>
    <w:p w14:paraId="57C3200C" w14:textId="77777777" w:rsidR="001018D6" w:rsidRPr="004B64CE" w:rsidRDefault="001018D6" w:rsidP="004B64CE">
      <w:pPr>
        <w:spacing w:after="0" w:line="360" w:lineRule="atLeast"/>
        <w:ind w:left="-284" w:right="119"/>
        <w:rPr>
          <w:rFonts w:cs="Arial"/>
          <w:sz w:val="24"/>
          <w:szCs w:val="24"/>
        </w:rPr>
      </w:pPr>
    </w:p>
    <w:p w14:paraId="103B0F90" w14:textId="093F7798" w:rsidR="00EC24B8" w:rsidRPr="005B287A" w:rsidRDefault="00A75AD7" w:rsidP="004B64CE">
      <w:pPr>
        <w:spacing w:after="0" w:line="360" w:lineRule="atLeast"/>
        <w:ind w:left="-284" w:right="119"/>
        <w:rPr>
          <w:rFonts w:cs="Arial"/>
          <w:sz w:val="24"/>
          <w:szCs w:val="24"/>
        </w:rPr>
      </w:pPr>
      <w:r w:rsidRPr="004B64CE">
        <w:rPr>
          <w:rFonts w:cs="Arial"/>
          <w:sz w:val="24"/>
          <w:szCs w:val="24"/>
        </w:rPr>
        <w:t xml:space="preserve">PSIRF recognises the need to ensure we have support structures </w:t>
      </w:r>
      <w:r w:rsidRPr="005B287A">
        <w:rPr>
          <w:rFonts w:cs="Arial"/>
          <w:sz w:val="24"/>
          <w:szCs w:val="24"/>
        </w:rPr>
        <w:t xml:space="preserve">for </w:t>
      </w:r>
      <w:r w:rsidR="00313DBA" w:rsidRPr="005B287A">
        <w:rPr>
          <w:rFonts w:cs="Arial"/>
          <w:sz w:val="24"/>
          <w:szCs w:val="24"/>
        </w:rPr>
        <w:t xml:space="preserve">patients and </w:t>
      </w:r>
      <w:r w:rsidRPr="005B287A">
        <w:rPr>
          <w:rFonts w:cs="Arial"/>
          <w:sz w:val="24"/>
          <w:szCs w:val="24"/>
        </w:rPr>
        <w:t>staff involved in patient safety incidents. A key part of this is fostering a psychologically safe culture, a ‘Just culture’ where our staff and patients feel confident to speak up when things don’t go as planned.</w:t>
      </w:r>
    </w:p>
    <w:p w14:paraId="599332ED" w14:textId="77777777" w:rsidR="001018D6" w:rsidRPr="005B287A" w:rsidRDefault="001018D6" w:rsidP="004B64CE">
      <w:pPr>
        <w:spacing w:after="0" w:line="360" w:lineRule="atLeast"/>
        <w:ind w:left="-284" w:right="119"/>
        <w:rPr>
          <w:rFonts w:cs="Arial"/>
          <w:sz w:val="24"/>
          <w:szCs w:val="24"/>
        </w:rPr>
      </w:pPr>
    </w:p>
    <w:p w14:paraId="5682C1F9" w14:textId="2DAEBA84" w:rsidR="00EC24B8" w:rsidRPr="004B64CE" w:rsidRDefault="00A75AD7" w:rsidP="004B64CE">
      <w:pPr>
        <w:spacing w:after="0" w:line="360" w:lineRule="atLeast"/>
        <w:ind w:left="-284" w:right="119"/>
        <w:rPr>
          <w:rFonts w:cs="Arial"/>
          <w:sz w:val="24"/>
          <w:szCs w:val="24"/>
        </w:rPr>
      </w:pPr>
      <w:r w:rsidRPr="005B287A">
        <w:rPr>
          <w:rFonts w:cs="Arial"/>
          <w:sz w:val="24"/>
          <w:szCs w:val="24"/>
        </w:rPr>
        <w:t xml:space="preserve">This document is the Patient Safety Incident Response Plan (PSIRP) for Leeds Community Healthcare </w:t>
      </w:r>
      <w:r w:rsidR="00FA6D5F" w:rsidRPr="005B287A">
        <w:rPr>
          <w:rFonts w:cs="Arial"/>
          <w:sz w:val="24"/>
          <w:szCs w:val="24"/>
        </w:rPr>
        <w:t xml:space="preserve">Trust </w:t>
      </w:r>
      <w:r w:rsidRPr="005B287A">
        <w:rPr>
          <w:rFonts w:cs="Arial"/>
          <w:sz w:val="24"/>
          <w:szCs w:val="24"/>
        </w:rPr>
        <w:t>(LCH). Th</w:t>
      </w:r>
      <w:r w:rsidR="00FA6D5F" w:rsidRPr="005B287A">
        <w:rPr>
          <w:rFonts w:cs="Arial"/>
          <w:sz w:val="24"/>
          <w:szCs w:val="24"/>
        </w:rPr>
        <w:t>is version of the PSIRP</w:t>
      </w:r>
      <w:r w:rsidRPr="005B287A">
        <w:rPr>
          <w:rFonts w:cs="Arial"/>
          <w:sz w:val="24"/>
          <w:szCs w:val="24"/>
        </w:rPr>
        <w:t xml:space="preserve"> provides the blueprint of how we intend to respond to patient safety incidents over a period of 1</w:t>
      </w:r>
      <w:r w:rsidR="007F660E" w:rsidRPr="005B287A">
        <w:rPr>
          <w:rFonts w:cs="Arial"/>
          <w:sz w:val="24"/>
          <w:szCs w:val="24"/>
        </w:rPr>
        <w:t>5</w:t>
      </w:r>
      <w:r w:rsidRPr="005B287A">
        <w:rPr>
          <w:rFonts w:cs="Arial"/>
          <w:sz w:val="24"/>
          <w:szCs w:val="24"/>
        </w:rPr>
        <w:t xml:space="preserve"> months</w:t>
      </w:r>
      <w:r w:rsidR="00FA6D5F" w:rsidRPr="005B287A">
        <w:rPr>
          <w:rFonts w:cs="Arial"/>
          <w:sz w:val="24"/>
          <w:szCs w:val="24"/>
        </w:rPr>
        <w:t xml:space="preserve"> (2 Jan 2024 to 31 March 2025)</w:t>
      </w:r>
      <w:r w:rsidR="00C204FD" w:rsidRPr="005B287A">
        <w:rPr>
          <w:rFonts w:cs="Arial"/>
          <w:sz w:val="24"/>
          <w:szCs w:val="24"/>
        </w:rPr>
        <w:t xml:space="preserve">. The plan will then be </w:t>
      </w:r>
      <w:r w:rsidR="007F660E" w:rsidRPr="005B287A">
        <w:rPr>
          <w:rFonts w:cs="Arial"/>
          <w:sz w:val="24"/>
          <w:szCs w:val="24"/>
        </w:rPr>
        <w:t xml:space="preserve">reviewed </w:t>
      </w:r>
      <w:r w:rsidR="00FA6D5F" w:rsidRPr="005B287A">
        <w:rPr>
          <w:rFonts w:cs="Arial"/>
          <w:sz w:val="24"/>
          <w:szCs w:val="24"/>
        </w:rPr>
        <w:t xml:space="preserve">at least annually </w:t>
      </w:r>
      <w:r w:rsidR="007F660E" w:rsidRPr="005B287A">
        <w:rPr>
          <w:rFonts w:cs="Arial"/>
          <w:sz w:val="24"/>
          <w:szCs w:val="24"/>
        </w:rPr>
        <w:t xml:space="preserve">and </w:t>
      </w:r>
      <w:r w:rsidR="00C204FD" w:rsidRPr="005B287A">
        <w:rPr>
          <w:rFonts w:cs="Arial"/>
          <w:sz w:val="24"/>
          <w:szCs w:val="24"/>
        </w:rPr>
        <w:t>refreshed i</w:t>
      </w:r>
      <w:r w:rsidR="007F660E" w:rsidRPr="005B287A">
        <w:rPr>
          <w:rFonts w:cs="Arial"/>
          <w:sz w:val="24"/>
          <w:szCs w:val="24"/>
        </w:rPr>
        <w:t xml:space="preserve">n line with </w:t>
      </w:r>
      <w:r w:rsidR="00C204FD" w:rsidRPr="005B287A">
        <w:rPr>
          <w:rFonts w:cs="Arial"/>
          <w:sz w:val="24"/>
          <w:szCs w:val="24"/>
        </w:rPr>
        <w:t xml:space="preserve">future </w:t>
      </w:r>
      <w:r w:rsidR="007F660E" w:rsidRPr="005B287A">
        <w:rPr>
          <w:rFonts w:cs="Arial"/>
          <w:sz w:val="24"/>
          <w:szCs w:val="24"/>
        </w:rPr>
        <w:t>fiscal years</w:t>
      </w:r>
      <w:r w:rsidRPr="005B287A">
        <w:rPr>
          <w:rFonts w:cs="Arial"/>
          <w:sz w:val="24"/>
          <w:szCs w:val="24"/>
        </w:rPr>
        <w:t>.</w:t>
      </w:r>
      <w:r w:rsidR="00C204FD" w:rsidRPr="005B287A">
        <w:rPr>
          <w:rFonts w:cs="Arial"/>
          <w:sz w:val="24"/>
          <w:szCs w:val="24"/>
        </w:rPr>
        <w:t xml:space="preserve"> This plan details our approach to reviewing </w:t>
      </w:r>
      <w:r w:rsidRPr="005B287A">
        <w:rPr>
          <w:rFonts w:cs="Arial"/>
          <w:sz w:val="24"/>
          <w:szCs w:val="24"/>
        </w:rPr>
        <w:t xml:space="preserve">incidents </w:t>
      </w:r>
      <w:r w:rsidR="00C204FD" w:rsidRPr="005B287A">
        <w:rPr>
          <w:rFonts w:cs="Arial"/>
          <w:sz w:val="24"/>
          <w:szCs w:val="24"/>
        </w:rPr>
        <w:t xml:space="preserve">in line with </w:t>
      </w:r>
      <w:r w:rsidRPr="005B287A">
        <w:rPr>
          <w:rFonts w:cs="Arial"/>
          <w:sz w:val="24"/>
          <w:szCs w:val="24"/>
        </w:rPr>
        <w:t>nationally defined patient safety priorities</w:t>
      </w:r>
      <w:r w:rsidR="00C204FD" w:rsidRPr="005B287A">
        <w:rPr>
          <w:rFonts w:cs="Arial"/>
          <w:sz w:val="24"/>
          <w:szCs w:val="24"/>
        </w:rPr>
        <w:t xml:space="preserve"> and our locally defined safety priorities. </w:t>
      </w:r>
      <w:r w:rsidRPr="005B287A">
        <w:rPr>
          <w:rFonts w:cs="Arial"/>
          <w:sz w:val="24"/>
          <w:szCs w:val="24"/>
        </w:rPr>
        <w:t xml:space="preserve">The plan will remain a live document and will remain flexible </w:t>
      </w:r>
      <w:r w:rsidR="00C204FD" w:rsidRPr="005B287A">
        <w:rPr>
          <w:rFonts w:cs="Arial"/>
          <w:sz w:val="24"/>
          <w:szCs w:val="24"/>
        </w:rPr>
        <w:t>to</w:t>
      </w:r>
      <w:r w:rsidR="00C204FD">
        <w:rPr>
          <w:rFonts w:cs="Arial"/>
          <w:sz w:val="24"/>
          <w:szCs w:val="24"/>
        </w:rPr>
        <w:t xml:space="preserve"> </w:t>
      </w:r>
      <w:r w:rsidRPr="004B64CE">
        <w:rPr>
          <w:rFonts w:cs="Arial"/>
          <w:sz w:val="24"/>
          <w:szCs w:val="24"/>
        </w:rPr>
        <w:t xml:space="preserve">consider </w:t>
      </w:r>
      <w:r w:rsidR="00C204FD">
        <w:rPr>
          <w:rFonts w:cs="Arial"/>
          <w:sz w:val="24"/>
          <w:szCs w:val="24"/>
        </w:rPr>
        <w:t xml:space="preserve">new and emerging patient safety issues. </w:t>
      </w:r>
    </w:p>
    <w:p w14:paraId="0BF7A3BC" w14:textId="77777777" w:rsidR="001018D6" w:rsidRDefault="001018D6" w:rsidP="004B64CE">
      <w:pPr>
        <w:spacing w:after="0" w:line="360" w:lineRule="atLeast"/>
        <w:ind w:left="-284" w:right="119"/>
        <w:rPr>
          <w:rFonts w:cs="Arial"/>
          <w:sz w:val="24"/>
          <w:szCs w:val="24"/>
        </w:rPr>
      </w:pPr>
    </w:p>
    <w:p w14:paraId="284A8314" w14:textId="182C6941" w:rsidR="00EC24B8" w:rsidRPr="004B64CE" w:rsidRDefault="00A75AD7" w:rsidP="004B64CE">
      <w:pPr>
        <w:spacing w:after="0" w:line="360" w:lineRule="atLeast"/>
        <w:ind w:left="-284" w:right="119"/>
        <w:rPr>
          <w:rFonts w:cs="Arial"/>
          <w:sz w:val="24"/>
          <w:szCs w:val="24"/>
        </w:rPr>
      </w:pPr>
      <w:r w:rsidRPr="004B64CE">
        <w:rPr>
          <w:rFonts w:cs="Arial"/>
          <w:sz w:val="24"/>
          <w:szCs w:val="24"/>
        </w:rPr>
        <w:t xml:space="preserve">There is no remit within this </w:t>
      </w:r>
      <w:r w:rsidR="00C204FD">
        <w:rPr>
          <w:rFonts w:cs="Arial"/>
          <w:sz w:val="24"/>
          <w:szCs w:val="24"/>
        </w:rPr>
        <w:t>PSIRP</w:t>
      </w:r>
      <w:r w:rsidR="00FE2712" w:rsidRPr="004B64CE">
        <w:rPr>
          <w:rFonts w:cs="Arial"/>
          <w:sz w:val="24"/>
          <w:szCs w:val="24"/>
        </w:rPr>
        <w:t>,</w:t>
      </w:r>
      <w:r w:rsidRPr="004B64CE">
        <w:rPr>
          <w:rFonts w:cs="Arial"/>
          <w:sz w:val="24"/>
          <w:szCs w:val="24"/>
        </w:rPr>
        <w:t xml:space="preserve"> or </w:t>
      </w:r>
      <w:r w:rsidR="00C204FD">
        <w:rPr>
          <w:rFonts w:cs="Arial"/>
          <w:sz w:val="24"/>
          <w:szCs w:val="24"/>
        </w:rPr>
        <w:t xml:space="preserve">indeed within </w:t>
      </w:r>
      <w:r w:rsidRPr="004B64CE">
        <w:rPr>
          <w:rFonts w:cs="Arial"/>
          <w:sz w:val="24"/>
          <w:szCs w:val="24"/>
        </w:rPr>
        <w:t>PSIRF</w:t>
      </w:r>
      <w:r w:rsidR="00FE2712" w:rsidRPr="004B64CE">
        <w:rPr>
          <w:rFonts w:cs="Arial"/>
          <w:sz w:val="24"/>
          <w:szCs w:val="24"/>
        </w:rPr>
        <w:t>,</w:t>
      </w:r>
      <w:r w:rsidRPr="004B64CE">
        <w:rPr>
          <w:rFonts w:cs="Arial"/>
          <w:sz w:val="24"/>
          <w:szCs w:val="24"/>
        </w:rPr>
        <w:t xml:space="preserve"> to apportion blame or determine liability, preventability or cause of death</w:t>
      </w:r>
      <w:r w:rsidR="00FE2712" w:rsidRPr="004B64CE">
        <w:rPr>
          <w:rFonts w:cs="Arial"/>
          <w:sz w:val="24"/>
          <w:szCs w:val="24"/>
        </w:rPr>
        <w:t xml:space="preserve">. The </w:t>
      </w:r>
      <w:r w:rsidRPr="004B64CE">
        <w:rPr>
          <w:rFonts w:cs="Arial"/>
          <w:sz w:val="24"/>
          <w:szCs w:val="24"/>
        </w:rPr>
        <w:t>response</w:t>
      </w:r>
      <w:r w:rsidR="00FE2712" w:rsidRPr="004B64CE">
        <w:rPr>
          <w:rFonts w:cs="Arial"/>
          <w:sz w:val="24"/>
          <w:szCs w:val="24"/>
        </w:rPr>
        <w:t>s</w:t>
      </w:r>
      <w:r w:rsidRPr="004B64CE">
        <w:rPr>
          <w:rFonts w:cs="Arial"/>
          <w:sz w:val="24"/>
          <w:szCs w:val="24"/>
        </w:rPr>
        <w:t xml:space="preserve"> </w:t>
      </w:r>
      <w:r w:rsidR="00C204FD">
        <w:rPr>
          <w:rFonts w:cs="Arial"/>
          <w:sz w:val="24"/>
          <w:szCs w:val="24"/>
        </w:rPr>
        <w:t xml:space="preserve">we will </w:t>
      </w:r>
      <w:r w:rsidRPr="004B64CE">
        <w:rPr>
          <w:rFonts w:cs="Arial"/>
          <w:sz w:val="24"/>
          <w:szCs w:val="24"/>
        </w:rPr>
        <w:t xml:space="preserve">conduct </w:t>
      </w:r>
      <w:r w:rsidR="00FE2712" w:rsidRPr="004B64CE">
        <w:rPr>
          <w:rFonts w:cs="Arial"/>
          <w:sz w:val="24"/>
          <w:szCs w:val="24"/>
        </w:rPr>
        <w:t xml:space="preserve">to patient safety incidents are </w:t>
      </w:r>
      <w:r w:rsidRPr="004B64CE">
        <w:rPr>
          <w:rFonts w:cs="Arial"/>
          <w:sz w:val="24"/>
          <w:szCs w:val="24"/>
        </w:rPr>
        <w:t>for the purpose of learning and improvement. It is outside the scope of PSIRF to review matters to satisfy processes relating to complaints, Human Resource matters, legal claims and inquests.</w:t>
      </w:r>
    </w:p>
    <w:p w14:paraId="257DD5A3" w14:textId="77777777" w:rsidR="00A75AD7" w:rsidRPr="004B64CE" w:rsidRDefault="00A75AD7" w:rsidP="004B64CE">
      <w:pPr>
        <w:spacing w:after="0" w:line="360" w:lineRule="atLeast"/>
        <w:ind w:left="-284" w:right="119"/>
        <w:rPr>
          <w:rFonts w:cs="Arial"/>
          <w:sz w:val="24"/>
          <w:szCs w:val="24"/>
        </w:rPr>
      </w:pPr>
    </w:p>
    <w:p w14:paraId="51197158" w14:textId="56BEF778" w:rsidR="009420FC" w:rsidRPr="004B64CE" w:rsidRDefault="009420FC" w:rsidP="004B64CE">
      <w:pPr>
        <w:spacing w:after="0"/>
        <w:rPr>
          <w:rFonts w:eastAsiaTheme="majorEastAsia" w:cs="Arial"/>
          <w:b/>
          <w:bCs/>
          <w:color w:val="374C80" w:themeColor="accent1" w:themeShade="BF"/>
          <w:sz w:val="24"/>
          <w:szCs w:val="24"/>
        </w:rPr>
      </w:pPr>
      <w:r w:rsidRPr="004B64CE">
        <w:rPr>
          <w:rFonts w:cs="Arial"/>
          <w:sz w:val="24"/>
          <w:szCs w:val="24"/>
        </w:rPr>
        <w:br w:type="page"/>
      </w:r>
    </w:p>
    <w:bookmarkEnd w:id="0"/>
    <w:p w14:paraId="63B4335F" w14:textId="46C59507" w:rsidR="00880BB6" w:rsidRPr="001018D6" w:rsidRDefault="006B7E4E" w:rsidP="001018D6">
      <w:pPr>
        <w:pStyle w:val="Heading1"/>
        <w:spacing w:before="0"/>
        <w:rPr>
          <w:rFonts w:cs="Arial"/>
          <w:color w:val="005EB8"/>
        </w:rPr>
      </w:pPr>
      <w:r w:rsidRPr="001018D6">
        <w:rPr>
          <w:rFonts w:cs="Arial"/>
          <w:color w:val="005EB8"/>
        </w:rPr>
        <w:lastRenderedPageBreak/>
        <w:t>Our services</w:t>
      </w:r>
    </w:p>
    <w:p w14:paraId="36905FF9" w14:textId="0EB024E9" w:rsidR="00FE2712" w:rsidRDefault="00EC24B8" w:rsidP="004B64CE">
      <w:pPr>
        <w:spacing w:after="0"/>
        <w:rPr>
          <w:rFonts w:eastAsia="Calibri" w:cs="Arial"/>
          <w:sz w:val="24"/>
          <w:szCs w:val="24"/>
        </w:rPr>
      </w:pPr>
      <w:r w:rsidRPr="004B64CE">
        <w:rPr>
          <w:rFonts w:eastAsia="Calibri" w:cs="Arial"/>
          <w:sz w:val="24"/>
          <w:szCs w:val="24"/>
        </w:rPr>
        <w:t xml:space="preserve">Leeds Community Healthcare NHS Trust is proud to provide great care to our communities. The Trust provides and/or sub-contracts NHS services that include services from pre-conception to </w:t>
      </w:r>
      <w:r w:rsidR="00FE2712" w:rsidRPr="004B64CE">
        <w:rPr>
          <w:rFonts w:eastAsia="Calibri" w:cs="Arial"/>
          <w:sz w:val="24"/>
          <w:szCs w:val="24"/>
        </w:rPr>
        <w:t xml:space="preserve">the </w:t>
      </w:r>
      <w:r w:rsidRPr="004B64CE">
        <w:rPr>
          <w:rFonts w:eastAsia="Calibri" w:cs="Arial"/>
          <w:sz w:val="24"/>
          <w:szCs w:val="24"/>
        </w:rPr>
        <w:t>end of life</w:t>
      </w:r>
      <w:r w:rsidR="00C204FD">
        <w:rPr>
          <w:rFonts w:eastAsia="Calibri" w:cs="Arial"/>
          <w:sz w:val="24"/>
          <w:szCs w:val="24"/>
        </w:rPr>
        <w:t xml:space="preserve"> across </w:t>
      </w:r>
      <w:r w:rsidRPr="004B64CE">
        <w:rPr>
          <w:rFonts w:eastAsia="Calibri" w:cs="Arial"/>
          <w:sz w:val="24"/>
          <w:szCs w:val="24"/>
        </w:rPr>
        <w:t xml:space="preserve">many different specialities and professional disciplines. This includes services to promote and maintain health, and to provide care and treatment to manage existing conditions or ill health. </w:t>
      </w:r>
    </w:p>
    <w:p w14:paraId="09462AEE" w14:textId="2D6CEF62" w:rsidR="00EC24B8" w:rsidRDefault="00C204FD" w:rsidP="004B64CE">
      <w:pPr>
        <w:spacing w:after="0"/>
        <w:rPr>
          <w:rFonts w:cs="Arial"/>
          <w:sz w:val="24"/>
          <w:szCs w:val="24"/>
          <w:lang w:val="en-US"/>
        </w:rPr>
      </w:pPr>
      <w:r>
        <w:rPr>
          <w:rFonts w:eastAsia="Calibri" w:cs="Arial"/>
          <w:sz w:val="24"/>
          <w:szCs w:val="24"/>
        </w:rPr>
        <w:t xml:space="preserve">The Trust </w:t>
      </w:r>
      <w:r w:rsidR="00EC24B8" w:rsidRPr="004B64CE">
        <w:rPr>
          <w:rFonts w:eastAsia="Calibri" w:cs="Arial"/>
          <w:sz w:val="24"/>
          <w:szCs w:val="24"/>
        </w:rPr>
        <w:t>primarily serve</w:t>
      </w:r>
      <w:r>
        <w:rPr>
          <w:rFonts w:eastAsia="Calibri" w:cs="Arial"/>
          <w:sz w:val="24"/>
          <w:szCs w:val="24"/>
        </w:rPr>
        <w:t>s</w:t>
      </w:r>
      <w:r w:rsidR="00EC24B8" w:rsidRPr="004B64CE">
        <w:rPr>
          <w:rFonts w:eastAsia="Calibri" w:cs="Arial"/>
          <w:sz w:val="24"/>
          <w:szCs w:val="24"/>
        </w:rPr>
        <w:t xml:space="preserve"> the population of Leeds, </w:t>
      </w:r>
      <w:r>
        <w:rPr>
          <w:rFonts w:eastAsia="Calibri" w:cs="Arial"/>
          <w:sz w:val="24"/>
          <w:szCs w:val="24"/>
        </w:rPr>
        <w:t>in addition to s</w:t>
      </w:r>
      <w:r w:rsidR="00EC24B8" w:rsidRPr="004B64CE">
        <w:rPr>
          <w:rFonts w:eastAsia="Calibri" w:cs="Arial"/>
          <w:sz w:val="24"/>
          <w:szCs w:val="24"/>
        </w:rPr>
        <w:t xml:space="preserve">ome </w:t>
      </w:r>
      <w:r w:rsidR="00FE2712" w:rsidRPr="004B64CE">
        <w:rPr>
          <w:rFonts w:eastAsia="Calibri" w:cs="Arial"/>
          <w:sz w:val="24"/>
          <w:szCs w:val="24"/>
        </w:rPr>
        <w:t xml:space="preserve">regional </w:t>
      </w:r>
      <w:r w:rsidR="00EC24B8" w:rsidRPr="004B64CE">
        <w:rPr>
          <w:rFonts w:eastAsia="Calibri" w:cs="Arial"/>
          <w:sz w:val="24"/>
          <w:szCs w:val="24"/>
        </w:rPr>
        <w:t xml:space="preserve">services. </w:t>
      </w:r>
      <w:r>
        <w:rPr>
          <w:rFonts w:eastAsia="Calibri" w:cs="Arial"/>
          <w:sz w:val="24"/>
          <w:szCs w:val="24"/>
        </w:rPr>
        <w:t>S</w:t>
      </w:r>
      <w:r w:rsidR="00EC24B8" w:rsidRPr="004B64CE">
        <w:rPr>
          <w:rFonts w:cs="Arial"/>
          <w:sz w:val="24"/>
          <w:szCs w:val="24"/>
          <w:lang w:val="en-US"/>
        </w:rPr>
        <w:t xml:space="preserve">ervices are delivered within the patient’s home or from a range of sites including health centres, GP practices, hospital sites, schools, police custody suites and HM Prison and secure estate sites. </w:t>
      </w:r>
    </w:p>
    <w:p w14:paraId="6726D789" w14:textId="77777777" w:rsidR="001018D6" w:rsidRPr="004B64CE" w:rsidRDefault="001018D6" w:rsidP="004B64CE">
      <w:pPr>
        <w:spacing w:after="0"/>
        <w:rPr>
          <w:rFonts w:cs="Arial"/>
          <w:sz w:val="24"/>
          <w:szCs w:val="24"/>
          <w:lang w:val="en-US"/>
        </w:rPr>
      </w:pPr>
    </w:p>
    <w:p w14:paraId="026D8A1A" w14:textId="4550033C" w:rsidR="001018D6" w:rsidRDefault="00EC24B8" w:rsidP="004B64CE">
      <w:pPr>
        <w:spacing w:after="0"/>
        <w:rPr>
          <w:rFonts w:cs="Arial"/>
          <w:sz w:val="24"/>
          <w:szCs w:val="24"/>
        </w:rPr>
      </w:pPr>
      <w:r w:rsidRPr="004B64CE">
        <w:rPr>
          <w:rFonts w:cs="Arial"/>
          <w:sz w:val="24"/>
          <w:szCs w:val="24"/>
        </w:rPr>
        <w:t>LCH is commissioned and registered with the Care Quality Commission to provide the following Services:</w:t>
      </w:r>
    </w:p>
    <w:p w14:paraId="2998E918" w14:textId="77777777" w:rsidR="00EB3B69" w:rsidRPr="004B64CE" w:rsidRDefault="00EB3B69" w:rsidP="004B64CE">
      <w:pPr>
        <w:spacing w:after="0"/>
        <w:rPr>
          <w:rFonts w:cs="Arial"/>
          <w:sz w:val="24"/>
          <w:szCs w:val="24"/>
        </w:rPr>
      </w:pPr>
    </w:p>
    <w:p w14:paraId="6987227F" w14:textId="2AF6777C" w:rsidR="004B64CE" w:rsidRPr="00C204FD" w:rsidRDefault="004B64CE" w:rsidP="004B64CE">
      <w:pPr>
        <w:spacing w:after="0"/>
        <w:rPr>
          <w:rFonts w:cs="Arial"/>
        </w:rPr>
      </w:pPr>
      <w:r w:rsidRPr="00C204FD">
        <w:rPr>
          <w:rFonts w:cs="Arial"/>
        </w:rPr>
        <w:t>Table One –Clinical Business Units</w:t>
      </w:r>
    </w:p>
    <w:tbl>
      <w:tblPr>
        <w:tblStyle w:val="TableGrid"/>
        <w:tblW w:w="9356" w:type="dxa"/>
        <w:tblInd w:w="-289" w:type="dxa"/>
        <w:tblLook w:val="04A0" w:firstRow="1" w:lastRow="0" w:firstColumn="1" w:lastColumn="0" w:noHBand="0" w:noVBand="1"/>
      </w:tblPr>
      <w:tblGrid>
        <w:gridCol w:w="2966"/>
        <w:gridCol w:w="2966"/>
        <w:gridCol w:w="3424"/>
      </w:tblGrid>
      <w:tr w:rsidR="00654062" w:rsidRPr="004B64CE" w14:paraId="35A73CF9" w14:textId="77777777" w:rsidTr="002010DC">
        <w:tc>
          <w:tcPr>
            <w:tcW w:w="2966" w:type="dxa"/>
            <w:shd w:val="clear" w:color="auto" w:fill="0070C0"/>
          </w:tcPr>
          <w:p w14:paraId="6B928CC9" w14:textId="0957FEBC" w:rsidR="00654062" w:rsidRPr="00C204FD" w:rsidRDefault="00654062" w:rsidP="004B64CE">
            <w:pPr>
              <w:rPr>
                <w:rFonts w:cs="Arial"/>
                <w:b/>
                <w:bCs/>
                <w:color w:val="FFFFFF" w:themeColor="background1"/>
              </w:rPr>
            </w:pPr>
            <w:bookmarkStart w:id="1" w:name="_Hlk153386638"/>
            <w:r w:rsidRPr="00C204FD">
              <w:rPr>
                <w:rFonts w:cs="Arial"/>
                <w:b/>
                <w:bCs/>
                <w:color w:val="FFFFFF" w:themeColor="background1"/>
              </w:rPr>
              <w:t>Adult Business Unit</w:t>
            </w:r>
          </w:p>
        </w:tc>
        <w:tc>
          <w:tcPr>
            <w:tcW w:w="2966" w:type="dxa"/>
            <w:shd w:val="clear" w:color="auto" w:fill="0070C0"/>
          </w:tcPr>
          <w:p w14:paraId="702FEB2F" w14:textId="2B0F3FF4" w:rsidR="00654062" w:rsidRPr="00C204FD" w:rsidRDefault="00654062" w:rsidP="004B64CE">
            <w:pPr>
              <w:rPr>
                <w:rFonts w:cs="Arial"/>
                <w:b/>
                <w:bCs/>
                <w:color w:val="FFFFFF" w:themeColor="background1"/>
              </w:rPr>
            </w:pPr>
            <w:r w:rsidRPr="00C204FD">
              <w:rPr>
                <w:rFonts w:cs="Arial"/>
                <w:b/>
                <w:bCs/>
                <w:color w:val="FFFFFF" w:themeColor="background1"/>
              </w:rPr>
              <w:t>Childrens Business Unit</w:t>
            </w:r>
          </w:p>
        </w:tc>
        <w:tc>
          <w:tcPr>
            <w:tcW w:w="3424" w:type="dxa"/>
            <w:shd w:val="clear" w:color="auto" w:fill="0070C0"/>
          </w:tcPr>
          <w:p w14:paraId="795E6720" w14:textId="6A0B7134" w:rsidR="00654062" w:rsidRPr="00C204FD" w:rsidRDefault="00654062" w:rsidP="004B64CE">
            <w:pPr>
              <w:rPr>
                <w:rFonts w:cs="Arial"/>
                <w:b/>
                <w:bCs/>
                <w:color w:val="FFFFFF" w:themeColor="background1"/>
              </w:rPr>
            </w:pPr>
            <w:r w:rsidRPr="00C204FD">
              <w:rPr>
                <w:rFonts w:cs="Arial"/>
                <w:b/>
                <w:bCs/>
                <w:color w:val="FFFFFF" w:themeColor="background1"/>
              </w:rPr>
              <w:t>Specialist Business Unit</w:t>
            </w:r>
          </w:p>
        </w:tc>
      </w:tr>
      <w:tr w:rsidR="00654062" w:rsidRPr="004B64CE" w14:paraId="7C38AA3C" w14:textId="77777777" w:rsidTr="002010DC">
        <w:tc>
          <w:tcPr>
            <w:tcW w:w="2966" w:type="dxa"/>
            <w:shd w:val="clear" w:color="auto" w:fill="DFEBF5" w:themeFill="accent2" w:themeFillTint="33"/>
          </w:tcPr>
          <w:p w14:paraId="49EF968E" w14:textId="77777777" w:rsidR="00561DC9" w:rsidRPr="00561DC9" w:rsidRDefault="00561DC9" w:rsidP="00561DC9">
            <w:pPr>
              <w:pStyle w:val="ListParagraph"/>
              <w:numPr>
                <w:ilvl w:val="0"/>
                <w:numId w:val="46"/>
              </w:numPr>
              <w:rPr>
                <w:rFonts w:cs="Arial"/>
              </w:rPr>
            </w:pPr>
            <w:r w:rsidRPr="00561DC9">
              <w:rPr>
                <w:rFonts w:cs="Arial"/>
              </w:rPr>
              <w:t xml:space="preserve">Neighbourhood Teams (Community Nursing and Rehabilitation, </w:t>
            </w:r>
            <w:proofErr w:type="spellStart"/>
            <w:r w:rsidRPr="00561DC9">
              <w:rPr>
                <w:rFonts w:cs="Arial"/>
              </w:rPr>
              <w:t>HomeWard</w:t>
            </w:r>
            <w:proofErr w:type="spellEnd"/>
            <w:r w:rsidRPr="00561DC9">
              <w:rPr>
                <w:rFonts w:cs="Arial"/>
              </w:rPr>
              <w:t xml:space="preserve">, Integrated Clinics and </w:t>
            </w:r>
            <w:proofErr w:type="spellStart"/>
            <w:r w:rsidRPr="00561DC9">
              <w:rPr>
                <w:rFonts w:cs="Arial"/>
              </w:rPr>
              <w:t>Self Management</w:t>
            </w:r>
            <w:proofErr w:type="spellEnd"/>
            <w:r w:rsidRPr="00561DC9">
              <w:rPr>
                <w:rFonts w:cs="Arial"/>
              </w:rPr>
              <w:t>)</w:t>
            </w:r>
          </w:p>
          <w:p w14:paraId="076FAABE" w14:textId="77777777" w:rsidR="00561DC9" w:rsidRPr="00561DC9" w:rsidRDefault="00561DC9" w:rsidP="00561DC9">
            <w:pPr>
              <w:pStyle w:val="ListParagraph"/>
              <w:numPr>
                <w:ilvl w:val="0"/>
                <w:numId w:val="46"/>
              </w:numPr>
              <w:rPr>
                <w:rFonts w:cs="Arial"/>
              </w:rPr>
            </w:pPr>
            <w:r w:rsidRPr="00561DC9">
              <w:rPr>
                <w:rFonts w:cs="Arial"/>
              </w:rPr>
              <w:t xml:space="preserve">Community Discharge and Assessment Team </w:t>
            </w:r>
          </w:p>
          <w:p w14:paraId="61F5F6BD" w14:textId="77777777" w:rsidR="00561DC9" w:rsidRPr="00561DC9" w:rsidRDefault="00561DC9" w:rsidP="00561DC9">
            <w:pPr>
              <w:pStyle w:val="ListParagraph"/>
              <w:numPr>
                <w:ilvl w:val="0"/>
                <w:numId w:val="46"/>
              </w:numPr>
              <w:rPr>
                <w:rFonts w:cs="Arial"/>
              </w:rPr>
            </w:pPr>
            <w:r w:rsidRPr="00561DC9">
              <w:rPr>
                <w:rFonts w:cs="Arial"/>
              </w:rPr>
              <w:t xml:space="preserve">Continence, urology and colorectal service  </w:t>
            </w:r>
          </w:p>
          <w:p w14:paraId="3407A7F2" w14:textId="77777777" w:rsidR="00561DC9" w:rsidRPr="00561DC9" w:rsidRDefault="00561DC9" w:rsidP="00561DC9">
            <w:pPr>
              <w:pStyle w:val="ListParagraph"/>
              <w:numPr>
                <w:ilvl w:val="0"/>
                <w:numId w:val="46"/>
              </w:numPr>
              <w:rPr>
                <w:rFonts w:cs="Arial"/>
              </w:rPr>
            </w:pPr>
            <w:r w:rsidRPr="00561DC9">
              <w:rPr>
                <w:rFonts w:cs="Arial"/>
              </w:rPr>
              <w:t>End of Life Team</w:t>
            </w:r>
          </w:p>
          <w:p w14:paraId="24C2CF59" w14:textId="77777777" w:rsidR="00561DC9" w:rsidRPr="00561DC9" w:rsidRDefault="00561DC9" w:rsidP="00561DC9">
            <w:pPr>
              <w:pStyle w:val="ListParagraph"/>
              <w:numPr>
                <w:ilvl w:val="0"/>
                <w:numId w:val="46"/>
              </w:numPr>
              <w:rPr>
                <w:rFonts w:cs="Arial"/>
              </w:rPr>
            </w:pPr>
            <w:r w:rsidRPr="00561DC9">
              <w:rPr>
                <w:rFonts w:cs="Arial"/>
              </w:rPr>
              <w:t xml:space="preserve">Falls Team </w:t>
            </w:r>
          </w:p>
          <w:p w14:paraId="60995A67" w14:textId="77777777" w:rsidR="00561DC9" w:rsidRPr="00561DC9" w:rsidRDefault="00561DC9" w:rsidP="00561DC9">
            <w:pPr>
              <w:pStyle w:val="ListParagraph"/>
              <w:numPr>
                <w:ilvl w:val="0"/>
                <w:numId w:val="46"/>
              </w:numPr>
              <w:rPr>
                <w:rFonts w:cs="Arial"/>
              </w:rPr>
            </w:pPr>
            <w:r w:rsidRPr="00561DC9">
              <w:rPr>
                <w:rFonts w:cs="Arial"/>
              </w:rPr>
              <w:t>Health Case Management</w:t>
            </w:r>
          </w:p>
          <w:p w14:paraId="762E0FC9" w14:textId="77777777" w:rsidR="00561DC9" w:rsidRPr="00561DC9" w:rsidRDefault="00561DC9" w:rsidP="00561DC9">
            <w:pPr>
              <w:pStyle w:val="ListParagraph"/>
              <w:numPr>
                <w:ilvl w:val="0"/>
                <w:numId w:val="46"/>
              </w:numPr>
              <w:rPr>
                <w:rFonts w:cs="Arial"/>
              </w:rPr>
            </w:pPr>
            <w:r w:rsidRPr="00561DC9">
              <w:rPr>
                <w:rFonts w:cs="Arial"/>
              </w:rPr>
              <w:t>Neighbourhood Night Service</w:t>
            </w:r>
          </w:p>
          <w:p w14:paraId="60208136" w14:textId="77777777" w:rsidR="00561DC9" w:rsidRPr="00561DC9" w:rsidRDefault="00561DC9" w:rsidP="00561DC9">
            <w:pPr>
              <w:pStyle w:val="ListParagraph"/>
              <w:numPr>
                <w:ilvl w:val="0"/>
                <w:numId w:val="46"/>
              </w:numPr>
              <w:rPr>
                <w:rFonts w:cs="Arial"/>
              </w:rPr>
            </w:pPr>
            <w:r w:rsidRPr="00561DC9">
              <w:rPr>
                <w:rFonts w:cs="Arial"/>
              </w:rPr>
              <w:t>Recovery Hubs</w:t>
            </w:r>
          </w:p>
          <w:p w14:paraId="5A09E3BC" w14:textId="77777777" w:rsidR="00561DC9" w:rsidRPr="00561DC9" w:rsidRDefault="00561DC9" w:rsidP="00561DC9">
            <w:pPr>
              <w:pStyle w:val="ListParagraph"/>
              <w:numPr>
                <w:ilvl w:val="0"/>
                <w:numId w:val="46"/>
              </w:numPr>
              <w:rPr>
                <w:rFonts w:cs="Arial"/>
              </w:rPr>
            </w:pPr>
            <w:r w:rsidRPr="00561DC9">
              <w:rPr>
                <w:rFonts w:cs="Arial"/>
              </w:rPr>
              <w:t xml:space="preserve">Tissue Viability </w:t>
            </w:r>
          </w:p>
          <w:p w14:paraId="48728B72" w14:textId="77777777" w:rsidR="00561DC9" w:rsidRPr="00561DC9" w:rsidRDefault="00561DC9" w:rsidP="00561DC9">
            <w:pPr>
              <w:pStyle w:val="ListParagraph"/>
              <w:numPr>
                <w:ilvl w:val="0"/>
                <w:numId w:val="46"/>
              </w:numPr>
              <w:rPr>
                <w:rFonts w:cs="Arial"/>
              </w:rPr>
            </w:pPr>
            <w:r w:rsidRPr="00561DC9">
              <w:rPr>
                <w:rFonts w:cs="Arial"/>
              </w:rPr>
              <w:t>Transfer of Care</w:t>
            </w:r>
          </w:p>
          <w:p w14:paraId="6D5C80AF" w14:textId="77777777" w:rsidR="00561DC9" w:rsidRPr="00561DC9" w:rsidRDefault="00561DC9" w:rsidP="00561DC9">
            <w:pPr>
              <w:pStyle w:val="ListParagraph"/>
              <w:numPr>
                <w:ilvl w:val="0"/>
                <w:numId w:val="46"/>
              </w:numPr>
              <w:rPr>
                <w:rFonts w:cs="Arial"/>
              </w:rPr>
            </w:pPr>
            <w:r w:rsidRPr="00561DC9">
              <w:rPr>
                <w:rFonts w:cs="Arial"/>
              </w:rPr>
              <w:t>Bed Bureau</w:t>
            </w:r>
          </w:p>
          <w:p w14:paraId="6BDAEA28" w14:textId="10C1A579" w:rsidR="00654062" w:rsidRPr="00C204FD" w:rsidRDefault="00561DC9" w:rsidP="00561DC9">
            <w:pPr>
              <w:pStyle w:val="ListParagraph"/>
              <w:numPr>
                <w:ilvl w:val="0"/>
                <w:numId w:val="46"/>
              </w:numPr>
              <w:rPr>
                <w:rFonts w:cs="Arial"/>
              </w:rPr>
            </w:pPr>
            <w:r w:rsidRPr="00561DC9">
              <w:rPr>
                <w:rFonts w:cs="Arial"/>
              </w:rPr>
              <w:t>Wharfdale Recovery Hub</w:t>
            </w:r>
          </w:p>
        </w:tc>
        <w:tc>
          <w:tcPr>
            <w:tcW w:w="2966" w:type="dxa"/>
            <w:shd w:val="clear" w:color="auto" w:fill="DFEBF5" w:themeFill="accent2" w:themeFillTint="33"/>
          </w:tcPr>
          <w:p w14:paraId="11B7DDDB" w14:textId="77777777" w:rsidR="0049775B" w:rsidRPr="0049775B" w:rsidRDefault="0049775B" w:rsidP="0049775B">
            <w:pPr>
              <w:pStyle w:val="ListParagraph"/>
              <w:numPr>
                <w:ilvl w:val="0"/>
                <w:numId w:val="46"/>
              </w:numPr>
              <w:rPr>
                <w:rFonts w:ascii="Calibri" w:hAnsi="Calibri"/>
              </w:rPr>
            </w:pPr>
            <w:r>
              <w:t xml:space="preserve">Integrated Children’s Additional Needs Service (ICAN) </w:t>
            </w:r>
          </w:p>
          <w:p w14:paraId="55C6CD49" w14:textId="77777777" w:rsidR="0049775B" w:rsidRDefault="0049775B" w:rsidP="0049775B">
            <w:pPr>
              <w:pStyle w:val="ListParagraph"/>
              <w:numPr>
                <w:ilvl w:val="0"/>
                <w:numId w:val="46"/>
              </w:numPr>
            </w:pPr>
            <w:r>
              <w:t xml:space="preserve">Audiology </w:t>
            </w:r>
          </w:p>
          <w:p w14:paraId="46BE423C" w14:textId="77777777" w:rsidR="0049775B" w:rsidRDefault="0049775B" w:rsidP="0049775B">
            <w:pPr>
              <w:pStyle w:val="ListParagraph"/>
              <w:numPr>
                <w:ilvl w:val="0"/>
                <w:numId w:val="46"/>
              </w:numPr>
            </w:pPr>
            <w:proofErr w:type="spellStart"/>
            <w:r>
              <w:t>MindMate</w:t>
            </w:r>
            <w:proofErr w:type="spellEnd"/>
            <w:r>
              <w:t xml:space="preserve"> Single Point of Access </w:t>
            </w:r>
          </w:p>
          <w:p w14:paraId="0BFFD409" w14:textId="77777777" w:rsidR="0049775B" w:rsidRDefault="0049775B" w:rsidP="0049775B">
            <w:pPr>
              <w:pStyle w:val="ListParagraph"/>
              <w:numPr>
                <w:ilvl w:val="0"/>
                <w:numId w:val="46"/>
              </w:numPr>
            </w:pPr>
            <w:proofErr w:type="spellStart"/>
            <w:r>
              <w:t>MindMate</w:t>
            </w:r>
            <w:proofErr w:type="spellEnd"/>
            <w:r>
              <w:t xml:space="preserve"> Support Teams </w:t>
            </w:r>
          </w:p>
          <w:p w14:paraId="707627BF" w14:textId="77777777" w:rsidR="0049775B" w:rsidRDefault="0049775B" w:rsidP="0049775B">
            <w:pPr>
              <w:pStyle w:val="ListParagraph"/>
              <w:numPr>
                <w:ilvl w:val="0"/>
                <w:numId w:val="46"/>
              </w:numPr>
            </w:pPr>
            <w:r>
              <w:t xml:space="preserve">Childrens Community Nursing Service </w:t>
            </w:r>
          </w:p>
          <w:p w14:paraId="7FDFB95A" w14:textId="77777777" w:rsidR="0049775B" w:rsidRDefault="0049775B" w:rsidP="0049775B">
            <w:pPr>
              <w:pStyle w:val="ListParagraph"/>
              <w:numPr>
                <w:ilvl w:val="0"/>
                <w:numId w:val="46"/>
              </w:numPr>
            </w:pPr>
            <w:r>
              <w:t>Children’s Speech and Language Therapy</w:t>
            </w:r>
          </w:p>
          <w:p w14:paraId="44D6B259" w14:textId="77777777" w:rsidR="0049775B" w:rsidRDefault="0049775B" w:rsidP="0049775B">
            <w:pPr>
              <w:pStyle w:val="ListParagraph"/>
              <w:numPr>
                <w:ilvl w:val="0"/>
                <w:numId w:val="46"/>
              </w:numPr>
            </w:pPr>
            <w:r>
              <w:t xml:space="preserve">0-19 Public Health Integrated Nursing Service </w:t>
            </w:r>
          </w:p>
          <w:p w14:paraId="7B84D586" w14:textId="77777777" w:rsidR="0049775B" w:rsidRDefault="0049775B" w:rsidP="0049775B">
            <w:pPr>
              <w:pStyle w:val="ListParagraph"/>
              <w:numPr>
                <w:ilvl w:val="0"/>
                <w:numId w:val="46"/>
              </w:numPr>
            </w:pPr>
            <w:r>
              <w:t xml:space="preserve">Infant Mental Health </w:t>
            </w:r>
          </w:p>
          <w:p w14:paraId="320063AD" w14:textId="77777777" w:rsidR="0049775B" w:rsidRDefault="0049775B" w:rsidP="0049775B">
            <w:pPr>
              <w:pStyle w:val="ListParagraph"/>
              <w:numPr>
                <w:ilvl w:val="0"/>
                <w:numId w:val="46"/>
              </w:numPr>
            </w:pPr>
            <w:r>
              <w:t xml:space="preserve">Children’s Community Eye Service </w:t>
            </w:r>
          </w:p>
          <w:p w14:paraId="53FCB033" w14:textId="77777777" w:rsidR="0049775B" w:rsidRDefault="0049775B" w:rsidP="0049775B">
            <w:pPr>
              <w:pStyle w:val="ListParagraph"/>
              <w:numPr>
                <w:ilvl w:val="0"/>
                <w:numId w:val="46"/>
              </w:numPr>
            </w:pPr>
            <w:r>
              <w:t>School Aged Immunisations Service</w:t>
            </w:r>
          </w:p>
          <w:p w14:paraId="200071E4" w14:textId="77777777" w:rsidR="0049775B" w:rsidRDefault="0049775B" w:rsidP="0049775B">
            <w:pPr>
              <w:pStyle w:val="ListParagraph"/>
              <w:numPr>
                <w:ilvl w:val="0"/>
                <w:numId w:val="46"/>
              </w:numPr>
            </w:pPr>
            <w:r w:rsidRPr="0049775B">
              <w:rPr>
                <w:color w:val="000000"/>
              </w:rPr>
              <w:t>Children and Young People’s Mental Health Service</w:t>
            </w:r>
          </w:p>
          <w:p w14:paraId="4855E83B" w14:textId="1F8B4826" w:rsidR="00654062" w:rsidRPr="00C204FD" w:rsidRDefault="00654062" w:rsidP="0049775B">
            <w:pPr>
              <w:pStyle w:val="ListParagraph"/>
              <w:ind w:left="360"/>
              <w:rPr>
                <w:rFonts w:cs="Arial"/>
              </w:rPr>
            </w:pPr>
          </w:p>
        </w:tc>
        <w:tc>
          <w:tcPr>
            <w:tcW w:w="3424" w:type="dxa"/>
            <w:shd w:val="clear" w:color="auto" w:fill="DFEBF5" w:themeFill="accent2" w:themeFillTint="33"/>
          </w:tcPr>
          <w:p w14:paraId="0B24951B" w14:textId="77777777" w:rsidR="00654062" w:rsidRPr="00C204FD" w:rsidRDefault="00654062" w:rsidP="004B64CE">
            <w:pPr>
              <w:pStyle w:val="ListParagraph"/>
              <w:numPr>
                <w:ilvl w:val="0"/>
                <w:numId w:val="46"/>
              </w:numPr>
              <w:rPr>
                <w:rFonts w:cs="Arial"/>
              </w:rPr>
            </w:pPr>
            <w:r w:rsidRPr="00C204FD">
              <w:rPr>
                <w:rFonts w:cs="Arial"/>
              </w:rPr>
              <w:t xml:space="preserve">Dental </w:t>
            </w:r>
          </w:p>
          <w:p w14:paraId="1578D892" w14:textId="77777777" w:rsidR="00654062" w:rsidRPr="00C204FD" w:rsidRDefault="00654062" w:rsidP="004B64CE">
            <w:pPr>
              <w:pStyle w:val="ListParagraph"/>
              <w:numPr>
                <w:ilvl w:val="0"/>
                <w:numId w:val="46"/>
              </w:numPr>
              <w:rPr>
                <w:rFonts w:cs="Arial"/>
              </w:rPr>
            </w:pPr>
            <w:r w:rsidRPr="00C204FD">
              <w:rPr>
                <w:rFonts w:cs="Arial"/>
              </w:rPr>
              <w:t xml:space="preserve">Musculoskeletal </w:t>
            </w:r>
          </w:p>
          <w:p w14:paraId="58190F83" w14:textId="77777777" w:rsidR="00654062" w:rsidRPr="00C204FD" w:rsidRDefault="00654062" w:rsidP="004B64CE">
            <w:pPr>
              <w:pStyle w:val="ListParagraph"/>
              <w:numPr>
                <w:ilvl w:val="0"/>
                <w:numId w:val="46"/>
              </w:numPr>
              <w:rPr>
                <w:rFonts w:cs="Arial"/>
              </w:rPr>
            </w:pPr>
            <w:r w:rsidRPr="00C204FD">
              <w:rPr>
                <w:rFonts w:cs="Arial"/>
              </w:rPr>
              <w:t xml:space="preserve">Adult Speech &amp; Swallowing </w:t>
            </w:r>
          </w:p>
          <w:p w14:paraId="5474F073" w14:textId="77777777" w:rsidR="00654062" w:rsidRPr="00C204FD" w:rsidRDefault="00654062" w:rsidP="004B64CE">
            <w:pPr>
              <w:pStyle w:val="ListParagraph"/>
              <w:numPr>
                <w:ilvl w:val="0"/>
                <w:numId w:val="46"/>
              </w:numPr>
              <w:rPr>
                <w:rFonts w:cs="Arial"/>
              </w:rPr>
            </w:pPr>
            <w:r w:rsidRPr="00C204FD">
              <w:rPr>
                <w:rFonts w:cs="Arial"/>
              </w:rPr>
              <w:t xml:space="preserve">Podiatry </w:t>
            </w:r>
          </w:p>
          <w:p w14:paraId="25396025" w14:textId="77777777" w:rsidR="00654062" w:rsidRPr="00C204FD" w:rsidRDefault="00654062" w:rsidP="004B64CE">
            <w:pPr>
              <w:pStyle w:val="ListParagraph"/>
              <w:numPr>
                <w:ilvl w:val="0"/>
                <w:numId w:val="46"/>
              </w:numPr>
              <w:rPr>
                <w:rFonts w:cs="Arial"/>
              </w:rPr>
            </w:pPr>
            <w:r w:rsidRPr="00C204FD">
              <w:rPr>
                <w:rFonts w:cs="Arial"/>
              </w:rPr>
              <w:t xml:space="preserve">Wetherby Young Offenders Institute </w:t>
            </w:r>
          </w:p>
          <w:p w14:paraId="252A224A" w14:textId="621FD153" w:rsidR="00654062" w:rsidRPr="005B287A" w:rsidRDefault="00654062" w:rsidP="004B64CE">
            <w:pPr>
              <w:pStyle w:val="ListParagraph"/>
              <w:numPr>
                <w:ilvl w:val="0"/>
                <w:numId w:val="46"/>
              </w:numPr>
              <w:rPr>
                <w:rFonts w:cs="Arial"/>
              </w:rPr>
            </w:pPr>
            <w:r w:rsidRPr="005B287A">
              <w:rPr>
                <w:rFonts w:cs="Arial"/>
              </w:rPr>
              <w:t>Adel Beck</w:t>
            </w:r>
            <w:r w:rsidR="00FA6D5F" w:rsidRPr="005B287A">
              <w:rPr>
                <w:rFonts w:cs="Arial"/>
              </w:rPr>
              <w:t xml:space="preserve"> Secure Childrens Home </w:t>
            </w:r>
          </w:p>
          <w:p w14:paraId="5C724939" w14:textId="77777777" w:rsidR="00654062" w:rsidRPr="005B287A" w:rsidRDefault="00654062" w:rsidP="004B64CE">
            <w:pPr>
              <w:pStyle w:val="ListParagraph"/>
              <w:numPr>
                <w:ilvl w:val="0"/>
                <w:numId w:val="46"/>
              </w:numPr>
              <w:rPr>
                <w:rFonts w:cs="Arial"/>
              </w:rPr>
            </w:pPr>
            <w:r w:rsidRPr="005B287A">
              <w:rPr>
                <w:rFonts w:cs="Arial"/>
              </w:rPr>
              <w:t>Leeds Sexual Health Service</w:t>
            </w:r>
          </w:p>
          <w:p w14:paraId="276FEF78" w14:textId="77777777" w:rsidR="00654062" w:rsidRPr="00C204FD" w:rsidRDefault="00654062" w:rsidP="004B64CE">
            <w:pPr>
              <w:pStyle w:val="ListParagraph"/>
              <w:numPr>
                <w:ilvl w:val="0"/>
                <w:numId w:val="46"/>
              </w:numPr>
              <w:rPr>
                <w:rFonts w:cs="Arial"/>
              </w:rPr>
            </w:pPr>
            <w:r w:rsidRPr="005B287A">
              <w:rPr>
                <w:rFonts w:cs="Arial"/>
              </w:rPr>
              <w:t>Homeless &amp; Health Inclusion</w:t>
            </w:r>
            <w:r w:rsidRPr="00C204FD">
              <w:rPr>
                <w:rFonts w:cs="Arial"/>
              </w:rPr>
              <w:t xml:space="preserve"> Team </w:t>
            </w:r>
          </w:p>
          <w:p w14:paraId="0C428751" w14:textId="77777777" w:rsidR="00654062" w:rsidRPr="00C204FD" w:rsidRDefault="00654062" w:rsidP="004B64CE">
            <w:pPr>
              <w:pStyle w:val="ListParagraph"/>
              <w:numPr>
                <w:ilvl w:val="0"/>
                <w:numId w:val="46"/>
              </w:numPr>
              <w:rPr>
                <w:rFonts w:cs="Arial"/>
              </w:rPr>
            </w:pPr>
            <w:r w:rsidRPr="00C204FD">
              <w:rPr>
                <w:rFonts w:cs="Arial"/>
              </w:rPr>
              <w:t>Long COVID Rehab</w:t>
            </w:r>
          </w:p>
          <w:p w14:paraId="6F4DF528" w14:textId="77777777" w:rsidR="00654062" w:rsidRPr="00C204FD" w:rsidRDefault="00654062" w:rsidP="004B64CE">
            <w:pPr>
              <w:pStyle w:val="ListParagraph"/>
              <w:numPr>
                <w:ilvl w:val="0"/>
                <w:numId w:val="46"/>
              </w:numPr>
              <w:rPr>
                <w:rFonts w:cs="Arial"/>
              </w:rPr>
            </w:pPr>
            <w:r w:rsidRPr="00C204FD">
              <w:rPr>
                <w:rFonts w:cs="Arial"/>
              </w:rPr>
              <w:t xml:space="preserve">Gynaecology </w:t>
            </w:r>
          </w:p>
          <w:p w14:paraId="1CC2EB5B" w14:textId="77777777" w:rsidR="00654062" w:rsidRPr="00C204FD" w:rsidRDefault="00654062" w:rsidP="004B64CE">
            <w:pPr>
              <w:pStyle w:val="ListParagraph"/>
              <w:numPr>
                <w:ilvl w:val="0"/>
                <w:numId w:val="46"/>
              </w:numPr>
              <w:rPr>
                <w:rFonts w:cs="Arial"/>
              </w:rPr>
            </w:pPr>
            <w:r w:rsidRPr="00C204FD">
              <w:rPr>
                <w:rFonts w:cs="Arial"/>
              </w:rPr>
              <w:t>Police Custody Suites</w:t>
            </w:r>
          </w:p>
          <w:p w14:paraId="7CCBC438" w14:textId="77777777" w:rsidR="00654062" w:rsidRPr="00C204FD" w:rsidRDefault="00654062" w:rsidP="004B64CE">
            <w:pPr>
              <w:pStyle w:val="ListParagraph"/>
              <w:numPr>
                <w:ilvl w:val="0"/>
                <w:numId w:val="46"/>
              </w:numPr>
              <w:rPr>
                <w:rFonts w:cs="Arial"/>
              </w:rPr>
            </w:pPr>
            <w:r w:rsidRPr="00C204FD">
              <w:rPr>
                <w:rFonts w:cs="Arial"/>
              </w:rPr>
              <w:t>Leeds Mental Wellbeing Service</w:t>
            </w:r>
          </w:p>
          <w:p w14:paraId="30338118" w14:textId="77777777" w:rsidR="00654062" w:rsidRPr="00C204FD" w:rsidRDefault="00654062" w:rsidP="004B64CE">
            <w:pPr>
              <w:pStyle w:val="ListParagraph"/>
              <w:numPr>
                <w:ilvl w:val="0"/>
                <w:numId w:val="46"/>
              </w:numPr>
              <w:rPr>
                <w:rFonts w:cs="Arial"/>
              </w:rPr>
            </w:pPr>
            <w:r w:rsidRPr="00C204FD">
              <w:rPr>
                <w:rFonts w:cs="Arial"/>
              </w:rPr>
              <w:t xml:space="preserve">Tuberculosis </w:t>
            </w:r>
          </w:p>
          <w:p w14:paraId="42EC4D29" w14:textId="77777777" w:rsidR="00654062" w:rsidRPr="00C204FD" w:rsidRDefault="00654062" w:rsidP="004B64CE">
            <w:pPr>
              <w:pStyle w:val="ListParagraph"/>
              <w:numPr>
                <w:ilvl w:val="0"/>
                <w:numId w:val="46"/>
              </w:numPr>
              <w:rPr>
                <w:rFonts w:cs="Arial"/>
              </w:rPr>
            </w:pPr>
            <w:r w:rsidRPr="00C204FD">
              <w:rPr>
                <w:rFonts w:cs="Arial"/>
              </w:rPr>
              <w:t>Community Stroke Rehabilitation</w:t>
            </w:r>
          </w:p>
          <w:p w14:paraId="7E58F6C2" w14:textId="77777777" w:rsidR="00654062" w:rsidRPr="00C204FD" w:rsidRDefault="00654062" w:rsidP="004B64CE">
            <w:pPr>
              <w:pStyle w:val="ListParagraph"/>
              <w:numPr>
                <w:ilvl w:val="0"/>
                <w:numId w:val="46"/>
              </w:numPr>
              <w:rPr>
                <w:rFonts w:cs="Arial"/>
              </w:rPr>
            </w:pPr>
            <w:r w:rsidRPr="00C204FD">
              <w:rPr>
                <w:rFonts w:cs="Arial"/>
              </w:rPr>
              <w:t>Community Neurological Rehabilitation</w:t>
            </w:r>
          </w:p>
          <w:p w14:paraId="35FF5AA7" w14:textId="77777777" w:rsidR="00654062" w:rsidRPr="00C204FD" w:rsidRDefault="00654062" w:rsidP="004B64CE">
            <w:pPr>
              <w:pStyle w:val="ListParagraph"/>
              <w:numPr>
                <w:ilvl w:val="0"/>
                <w:numId w:val="46"/>
              </w:numPr>
              <w:rPr>
                <w:rFonts w:cs="Arial"/>
              </w:rPr>
            </w:pPr>
            <w:r w:rsidRPr="00C204FD">
              <w:rPr>
                <w:rFonts w:cs="Arial"/>
              </w:rPr>
              <w:t>Community Intravenous Antibiotic Service</w:t>
            </w:r>
          </w:p>
          <w:p w14:paraId="20457AFB" w14:textId="77777777" w:rsidR="00654062" w:rsidRPr="00C204FD" w:rsidRDefault="00654062" w:rsidP="004B64CE">
            <w:pPr>
              <w:pStyle w:val="ListParagraph"/>
              <w:numPr>
                <w:ilvl w:val="0"/>
                <w:numId w:val="46"/>
              </w:numPr>
              <w:rPr>
                <w:rFonts w:cs="Arial"/>
              </w:rPr>
            </w:pPr>
            <w:r w:rsidRPr="00C204FD">
              <w:rPr>
                <w:rFonts w:cs="Arial"/>
              </w:rPr>
              <w:t>Diabetes</w:t>
            </w:r>
          </w:p>
          <w:p w14:paraId="248BBF82" w14:textId="242AD532" w:rsidR="00654062" w:rsidRPr="00C204FD" w:rsidRDefault="00654062" w:rsidP="004B64CE">
            <w:pPr>
              <w:pStyle w:val="ListParagraph"/>
              <w:numPr>
                <w:ilvl w:val="0"/>
                <w:numId w:val="46"/>
              </w:numPr>
              <w:rPr>
                <w:rFonts w:cs="Arial"/>
              </w:rPr>
            </w:pPr>
            <w:r w:rsidRPr="00C204FD">
              <w:rPr>
                <w:rFonts w:cs="Arial"/>
              </w:rPr>
              <w:t>Liaison and Diversion</w:t>
            </w:r>
          </w:p>
          <w:p w14:paraId="203EAD47" w14:textId="77777777" w:rsidR="00654062" w:rsidRPr="00C204FD" w:rsidRDefault="00654062" w:rsidP="004B64CE">
            <w:pPr>
              <w:pStyle w:val="ListParagraph"/>
              <w:numPr>
                <w:ilvl w:val="0"/>
                <w:numId w:val="46"/>
              </w:numPr>
              <w:rPr>
                <w:rFonts w:cs="Arial"/>
              </w:rPr>
            </w:pPr>
            <w:r w:rsidRPr="00C204FD">
              <w:rPr>
                <w:rFonts w:cs="Arial"/>
              </w:rPr>
              <w:t xml:space="preserve">Respiratory </w:t>
            </w:r>
          </w:p>
          <w:p w14:paraId="1F8A4879" w14:textId="77777777" w:rsidR="00654062" w:rsidRPr="00C204FD" w:rsidRDefault="00654062" w:rsidP="004B64CE">
            <w:pPr>
              <w:pStyle w:val="ListParagraph"/>
              <w:numPr>
                <w:ilvl w:val="0"/>
                <w:numId w:val="46"/>
              </w:numPr>
              <w:rPr>
                <w:rFonts w:cs="Arial"/>
              </w:rPr>
            </w:pPr>
            <w:r w:rsidRPr="00C204FD">
              <w:rPr>
                <w:rFonts w:cs="Arial"/>
              </w:rPr>
              <w:t>Dietetics</w:t>
            </w:r>
          </w:p>
          <w:p w14:paraId="170B0EF8" w14:textId="377BD1C2" w:rsidR="00654062" w:rsidRPr="00C204FD" w:rsidRDefault="00654062" w:rsidP="004B64CE">
            <w:pPr>
              <w:pStyle w:val="ListParagraph"/>
              <w:numPr>
                <w:ilvl w:val="0"/>
                <w:numId w:val="46"/>
              </w:numPr>
              <w:rPr>
                <w:rFonts w:cs="Arial"/>
              </w:rPr>
            </w:pPr>
            <w:r w:rsidRPr="00C204FD">
              <w:rPr>
                <w:rFonts w:cs="Arial"/>
              </w:rPr>
              <w:t>Tier 3 Weight Management</w:t>
            </w:r>
          </w:p>
          <w:p w14:paraId="1E49FEBC" w14:textId="77777777" w:rsidR="00654062" w:rsidRPr="00C204FD" w:rsidRDefault="00654062" w:rsidP="004B64CE">
            <w:pPr>
              <w:pStyle w:val="ListParagraph"/>
              <w:numPr>
                <w:ilvl w:val="0"/>
                <w:numId w:val="46"/>
              </w:numPr>
              <w:rPr>
                <w:rFonts w:cs="Arial"/>
              </w:rPr>
            </w:pPr>
            <w:r w:rsidRPr="00C204FD">
              <w:rPr>
                <w:rFonts w:cs="Arial"/>
              </w:rPr>
              <w:t>Cardiac</w:t>
            </w:r>
          </w:p>
          <w:p w14:paraId="22BB0843" w14:textId="17BE4672" w:rsidR="00654062" w:rsidRPr="00C204FD" w:rsidRDefault="00654062" w:rsidP="004B64CE">
            <w:pPr>
              <w:pStyle w:val="ListParagraph"/>
              <w:numPr>
                <w:ilvl w:val="0"/>
                <w:numId w:val="46"/>
              </w:numPr>
              <w:rPr>
                <w:rFonts w:cs="Arial"/>
              </w:rPr>
            </w:pPr>
            <w:r w:rsidRPr="00C204FD">
              <w:rPr>
                <w:rFonts w:cs="Arial"/>
              </w:rPr>
              <w:t>Leeds Community Pain Service</w:t>
            </w:r>
          </w:p>
        </w:tc>
      </w:tr>
    </w:tbl>
    <w:p w14:paraId="214F1C92" w14:textId="77777777" w:rsidR="001018D6" w:rsidRDefault="001018D6" w:rsidP="004B64CE">
      <w:pPr>
        <w:pStyle w:val="Heading2"/>
        <w:spacing w:before="0"/>
        <w:ind w:left="-284"/>
        <w:rPr>
          <w:rFonts w:cs="Arial"/>
          <w:color w:val="0070C0"/>
          <w:sz w:val="24"/>
          <w:szCs w:val="24"/>
        </w:rPr>
      </w:pPr>
      <w:bookmarkStart w:id="2" w:name="_Hlk146712874"/>
      <w:bookmarkEnd w:id="1"/>
    </w:p>
    <w:p w14:paraId="45171945" w14:textId="77777777" w:rsidR="00D63478" w:rsidRDefault="00E8083E" w:rsidP="00D63478">
      <w:pPr>
        <w:pStyle w:val="Heading2"/>
        <w:spacing w:before="0"/>
        <w:ind w:left="-284"/>
        <w:rPr>
          <w:rFonts w:cs="Arial"/>
          <w:b/>
          <w:bCs w:val="0"/>
          <w:color w:val="0070C0"/>
          <w:szCs w:val="28"/>
        </w:rPr>
      </w:pPr>
      <w:r w:rsidRPr="001018D6">
        <w:rPr>
          <w:rFonts w:cs="Arial"/>
          <w:b/>
          <w:bCs w:val="0"/>
          <w:color w:val="0070C0"/>
          <w:szCs w:val="28"/>
        </w:rPr>
        <w:t xml:space="preserve">Defining </w:t>
      </w:r>
      <w:r w:rsidR="00701624" w:rsidRPr="001018D6">
        <w:rPr>
          <w:rFonts w:cs="Arial"/>
          <w:b/>
          <w:bCs w:val="0"/>
          <w:color w:val="0070C0"/>
          <w:szCs w:val="28"/>
        </w:rPr>
        <w:t xml:space="preserve">the LCH </w:t>
      </w:r>
      <w:r w:rsidR="00116B91" w:rsidRPr="001018D6">
        <w:rPr>
          <w:rFonts w:cs="Arial"/>
          <w:b/>
          <w:bCs w:val="0"/>
          <w:color w:val="0070C0"/>
          <w:szCs w:val="28"/>
        </w:rPr>
        <w:t xml:space="preserve">patient safety </w:t>
      </w:r>
      <w:r w:rsidRPr="001018D6">
        <w:rPr>
          <w:rFonts w:cs="Arial"/>
          <w:b/>
          <w:bCs w:val="0"/>
          <w:color w:val="0070C0"/>
          <w:szCs w:val="28"/>
        </w:rPr>
        <w:t>incident profile</w:t>
      </w:r>
    </w:p>
    <w:p w14:paraId="564852FB" w14:textId="77777777" w:rsidR="00D63478" w:rsidRDefault="00D63478" w:rsidP="00D63478">
      <w:pPr>
        <w:pStyle w:val="Heading2"/>
        <w:spacing w:before="0"/>
        <w:ind w:left="-284"/>
        <w:rPr>
          <w:rFonts w:cs="Arial"/>
          <w:b/>
          <w:bCs w:val="0"/>
          <w:color w:val="0070C0"/>
          <w:szCs w:val="28"/>
        </w:rPr>
      </w:pPr>
    </w:p>
    <w:p w14:paraId="442900B9" w14:textId="7E4146B3" w:rsidR="00D63478" w:rsidRPr="00D63478" w:rsidRDefault="00D63478" w:rsidP="00D63478">
      <w:pPr>
        <w:pStyle w:val="Heading2"/>
        <w:spacing w:before="0"/>
        <w:ind w:left="-284"/>
        <w:rPr>
          <w:color w:val="auto"/>
          <w:sz w:val="24"/>
          <w:szCs w:val="24"/>
        </w:rPr>
      </w:pPr>
      <w:r w:rsidRPr="00D63478">
        <w:rPr>
          <w:rFonts w:cs="Arial"/>
          <w:color w:val="auto"/>
          <w:sz w:val="24"/>
          <w:szCs w:val="24"/>
        </w:rPr>
        <w:t>It is recommended that t</w:t>
      </w:r>
      <w:r w:rsidRPr="00D63478">
        <w:rPr>
          <w:color w:val="auto"/>
          <w:sz w:val="24"/>
          <w:szCs w:val="24"/>
        </w:rPr>
        <w:t xml:space="preserve">his document be read alongside the Patient Safety Incident Response Framework (PSIRF) 2022, which sets out the requirement for this plan to be developed: </w:t>
      </w:r>
      <w:hyperlink r:id="rId12" w:history="1">
        <w:r w:rsidR="000C200D">
          <w:rPr>
            <w:rStyle w:val="Hyperlink"/>
            <w:sz w:val="24"/>
            <w:szCs w:val="24"/>
          </w:rPr>
          <w:t>PSIRF</w:t>
        </w:r>
      </w:hyperlink>
    </w:p>
    <w:p w14:paraId="76331846" w14:textId="77777777" w:rsidR="00D63478" w:rsidRDefault="00D63478" w:rsidP="004B64CE">
      <w:pPr>
        <w:spacing w:after="0"/>
        <w:ind w:left="-284" w:right="7"/>
        <w:rPr>
          <w:rFonts w:cs="Arial"/>
          <w:sz w:val="24"/>
          <w:szCs w:val="24"/>
        </w:rPr>
      </w:pPr>
    </w:p>
    <w:p w14:paraId="56F9F3F3" w14:textId="56826721" w:rsidR="00515609" w:rsidRPr="005B287A" w:rsidRDefault="00FF48BE" w:rsidP="004B64CE">
      <w:pPr>
        <w:spacing w:after="0"/>
        <w:ind w:left="-284" w:right="7"/>
        <w:rPr>
          <w:rFonts w:cs="Arial"/>
          <w:sz w:val="24"/>
          <w:szCs w:val="24"/>
        </w:rPr>
      </w:pPr>
      <w:r w:rsidRPr="004B64CE">
        <w:rPr>
          <w:rFonts w:cs="Arial"/>
          <w:sz w:val="24"/>
          <w:szCs w:val="24"/>
        </w:rPr>
        <w:t xml:space="preserve">To identify our </w:t>
      </w:r>
      <w:r w:rsidR="00EB3B69">
        <w:rPr>
          <w:rFonts w:cs="Arial"/>
          <w:sz w:val="24"/>
          <w:szCs w:val="24"/>
        </w:rPr>
        <w:t xml:space="preserve">Trust </w:t>
      </w:r>
      <w:r w:rsidR="003C4E6E">
        <w:rPr>
          <w:rFonts w:cs="Arial"/>
          <w:sz w:val="24"/>
          <w:szCs w:val="24"/>
        </w:rPr>
        <w:t xml:space="preserve">local </w:t>
      </w:r>
      <w:r w:rsidR="00C204FD">
        <w:rPr>
          <w:rFonts w:cs="Arial"/>
          <w:sz w:val="24"/>
          <w:szCs w:val="24"/>
        </w:rPr>
        <w:t xml:space="preserve">priorities </w:t>
      </w:r>
      <w:r w:rsidRPr="004B64CE">
        <w:rPr>
          <w:rFonts w:cs="Arial"/>
          <w:sz w:val="24"/>
          <w:szCs w:val="24"/>
        </w:rPr>
        <w:t xml:space="preserve">a review was conducted of the data outlined below within the data section. As part of this we identified incident categories, and then reviewed other data sources against this list. Once all the data had been reviewed, </w:t>
      </w:r>
      <w:r w:rsidR="00515609" w:rsidRPr="004B64CE">
        <w:rPr>
          <w:rFonts w:cs="Arial"/>
          <w:sz w:val="24"/>
          <w:szCs w:val="24"/>
        </w:rPr>
        <w:t>the information was then</w:t>
      </w:r>
      <w:r w:rsidRPr="004B64CE">
        <w:rPr>
          <w:rFonts w:cs="Arial"/>
          <w:sz w:val="24"/>
          <w:szCs w:val="24"/>
        </w:rPr>
        <w:t xml:space="preserve"> </w:t>
      </w:r>
      <w:r w:rsidR="00515609" w:rsidRPr="004B64CE">
        <w:rPr>
          <w:rFonts w:cs="Arial"/>
          <w:sz w:val="24"/>
          <w:szCs w:val="24"/>
        </w:rPr>
        <w:t>cross referenced to inform the priorities</w:t>
      </w:r>
      <w:r w:rsidR="00FA6D5F">
        <w:rPr>
          <w:rFonts w:cs="Arial"/>
          <w:sz w:val="24"/>
          <w:szCs w:val="24"/>
        </w:rPr>
        <w:t xml:space="preserve">, </w:t>
      </w:r>
      <w:r w:rsidR="00FA6D5F" w:rsidRPr="005B287A">
        <w:rPr>
          <w:rFonts w:cs="Arial"/>
          <w:sz w:val="24"/>
          <w:szCs w:val="24"/>
        </w:rPr>
        <w:t xml:space="preserve">identified in Appendix </w:t>
      </w:r>
      <w:r w:rsidR="00EB3B69">
        <w:rPr>
          <w:rFonts w:cs="Arial"/>
          <w:sz w:val="24"/>
          <w:szCs w:val="24"/>
        </w:rPr>
        <w:t>1</w:t>
      </w:r>
      <w:r w:rsidRPr="005B287A">
        <w:rPr>
          <w:rFonts w:cs="Arial"/>
          <w:sz w:val="24"/>
          <w:szCs w:val="24"/>
        </w:rPr>
        <w:t xml:space="preserve">. </w:t>
      </w:r>
    </w:p>
    <w:p w14:paraId="77E57D41" w14:textId="77777777" w:rsidR="001018D6" w:rsidRPr="005B287A" w:rsidRDefault="001018D6" w:rsidP="004B64CE">
      <w:pPr>
        <w:spacing w:after="0"/>
        <w:ind w:left="-284" w:right="7"/>
        <w:rPr>
          <w:rFonts w:cs="Arial"/>
          <w:sz w:val="24"/>
          <w:szCs w:val="24"/>
        </w:rPr>
      </w:pPr>
    </w:p>
    <w:p w14:paraId="1518171E" w14:textId="3C64D7B2" w:rsidR="00FF48BE" w:rsidRPr="005B287A" w:rsidRDefault="00FF48BE" w:rsidP="004B64CE">
      <w:pPr>
        <w:spacing w:after="0"/>
        <w:ind w:left="-284" w:right="7"/>
        <w:rPr>
          <w:rFonts w:cs="Arial"/>
          <w:sz w:val="24"/>
          <w:szCs w:val="24"/>
        </w:rPr>
      </w:pPr>
      <w:r w:rsidRPr="005B287A">
        <w:rPr>
          <w:rFonts w:cs="Arial"/>
          <w:sz w:val="24"/>
          <w:szCs w:val="24"/>
        </w:rPr>
        <w:t xml:space="preserve">In accordance with NHS England guidance on developing a PSIRP, we </w:t>
      </w:r>
      <w:r w:rsidR="005631C8" w:rsidRPr="005B287A">
        <w:rPr>
          <w:rFonts w:cs="Arial"/>
          <w:sz w:val="24"/>
          <w:szCs w:val="24"/>
        </w:rPr>
        <w:t xml:space="preserve">also </w:t>
      </w:r>
      <w:r w:rsidRPr="005B287A">
        <w:rPr>
          <w:rFonts w:cs="Arial"/>
          <w:sz w:val="24"/>
          <w:szCs w:val="24"/>
        </w:rPr>
        <w:t xml:space="preserve">identified </w:t>
      </w:r>
      <w:r w:rsidR="005631C8" w:rsidRPr="005B287A">
        <w:rPr>
          <w:rFonts w:cs="Arial"/>
          <w:sz w:val="24"/>
          <w:szCs w:val="24"/>
        </w:rPr>
        <w:t xml:space="preserve">and compared </w:t>
      </w:r>
      <w:r w:rsidRPr="005B287A">
        <w:rPr>
          <w:rFonts w:cs="Arial"/>
          <w:sz w:val="24"/>
          <w:szCs w:val="24"/>
        </w:rPr>
        <w:t>the on-going quality improvement work and quality improvement priorities currently in place for the Trust</w:t>
      </w:r>
      <w:r w:rsidR="005631C8" w:rsidRPr="005B287A">
        <w:rPr>
          <w:rFonts w:cs="Arial"/>
          <w:sz w:val="24"/>
          <w:szCs w:val="24"/>
        </w:rPr>
        <w:t xml:space="preserve"> to </w:t>
      </w:r>
      <w:r w:rsidRPr="005B287A">
        <w:rPr>
          <w:rFonts w:cs="Arial"/>
          <w:sz w:val="24"/>
          <w:szCs w:val="24"/>
        </w:rPr>
        <w:t xml:space="preserve">inform our decision making on the Trust's local patient safety priorities.  </w:t>
      </w:r>
      <w:bookmarkEnd w:id="2"/>
    </w:p>
    <w:p w14:paraId="0C48EFEE" w14:textId="77777777" w:rsidR="001018D6" w:rsidRPr="005B287A" w:rsidRDefault="001018D6" w:rsidP="004B64CE">
      <w:pPr>
        <w:spacing w:after="0"/>
        <w:ind w:left="-284" w:right="7"/>
        <w:rPr>
          <w:rFonts w:cs="Arial"/>
          <w:sz w:val="24"/>
          <w:szCs w:val="24"/>
        </w:rPr>
      </w:pPr>
    </w:p>
    <w:p w14:paraId="04542716" w14:textId="2B6C2167" w:rsidR="00FF48BE" w:rsidRPr="005B287A" w:rsidRDefault="00EC24B8" w:rsidP="004B64CE">
      <w:pPr>
        <w:spacing w:after="0"/>
        <w:ind w:left="-284" w:right="7"/>
        <w:rPr>
          <w:rFonts w:cs="Arial"/>
          <w:b/>
          <w:bCs/>
          <w:sz w:val="24"/>
          <w:szCs w:val="24"/>
        </w:rPr>
      </w:pPr>
      <w:r w:rsidRPr="005B287A">
        <w:rPr>
          <w:rFonts w:cs="Arial"/>
          <w:b/>
          <w:bCs/>
          <w:sz w:val="24"/>
          <w:szCs w:val="24"/>
        </w:rPr>
        <w:t>Patient Safety Priorities Profil</w:t>
      </w:r>
      <w:r w:rsidR="00FF48BE" w:rsidRPr="005B287A">
        <w:rPr>
          <w:rFonts w:cs="Arial"/>
          <w:b/>
          <w:bCs/>
          <w:sz w:val="24"/>
          <w:szCs w:val="24"/>
        </w:rPr>
        <w:t>e</w:t>
      </w:r>
    </w:p>
    <w:p w14:paraId="424DE769" w14:textId="1EB1A000" w:rsidR="00FF48BE" w:rsidRPr="005B287A" w:rsidRDefault="00EC24B8" w:rsidP="004B64CE">
      <w:pPr>
        <w:spacing w:after="0"/>
        <w:ind w:left="-284" w:right="7"/>
        <w:rPr>
          <w:rFonts w:cs="Arial"/>
          <w:sz w:val="24"/>
          <w:szCs w:val="24"/>
        </w:rPr>
      </w:pPr>
      <w:r w:rsidRPr="005B287A">
        <w:rPr>
          <w:rFonts w:cs="Arial"/>
          <w:sz w:val="24"/>
          <w:szCs w:val="24"/>
        </w:rPr>
        <w:t xml:space="preserve">To inform the Trust </w:t>
      </w:r>
      <w:r w:rsidR="005631C8" w:rsidRPr="005B287A">
        <w:rPr>
          <w:rFonts w:cs="Arial"/>
          <w:sz w:val="24"/>
          <w:szCs w:val="24"/>
        </w:rPr>
        <w:t xml:space="preserve">priorities </w:t>
      </w:r>
      <w:r w:rsidR="003C4E6E">
        <w:rPr>
          <w:rFonts w:cs="Arial"/>
          <w:sz w:val="24"/>
          <w:szCs w:val="24"/>
        </w:rPr>
        <w:t xml:space="preserve">(Appendix 1) </w:t>
      </w:r>
      <w:r w:rsidRPr="005B287A">
        <w:rPr>
          <w:rFonts w:cs="Arial"/>
          <w:sz w:val="24"/>
          <w:szCs w:val="24"/>
        </w:rPr>
        <w:t>we have assessed a breadth of data</w:t>
      </w:r>
      <w:r w:rsidR="00D60E6A" w:rsidRPr="005B287A">
        <w:rPr>
          <w:rFonts w:cs="Arial"/>
          <w:sz w:val="24"/>
          <w:szCs w:val="24"/>
        </w:rPr>
        <w:t xml:space="preserve"> from the LCH Incident Management system (</w:t>
      </w:r>
      <w:proofErr w:type="spellStart"/>
      <w:r w:rsidR="000C200D">
        <w:rPr>
          <w:rFonts w:cs="Arial"/>
          <w:sz w:val="24"/>
          <w:szCs w:val="24"/>
        </w:rPr>
        <w:t>RL</w:t>
      </w:r>
      <w:r w:rsidR="00D60E6A" w:rsidRPr="005B287A">
        <w:rPr>
          <w:rFonts w:cs="Arial"/>
          <w:sz w:val="24"/>
          <w:szCs w:val="24"/>
        </w:rPr>
        <w:t>Datix</w:t>
      </w:r>
      <w:proofErr w:type="spellEnd"/>
      <w:r w:rsidR="00D60E6A" w:rsidRPr="005B287A">
        <w:rPr>
          <w:rFonts w:cs="Arial"/>
          <w:sz w:val="24"/>
          <w:szCs w:val="24"/>
        </w:rPr>
        <w:t xml:space="preserve"> ®) and other Trust information systems</w:t>
      </w:r>
      <w:r w:rsidRPr="005B287A">
        <w:rPr>
          <w:rFonts w:cs="Arial"/>
          <w:sz w:val="24"/>
          <w:szCs w:val="24"/>
        </w:rPr>
        <w:t>,</w:t>
      </w:r>
      <w:r w:rsidR="00D60E6A" w:rsidRPr="005B287A">
        <w:rPr>
          <w:rFonts w:cs="Arial"/>
          <w:sz w:val="24"/>
          <w:szCs w:val="24"/>
        </w:rPr>
        <w:t xml:space="preserve"> which</w:t>
      </w:r>
      <w:r w:rsidRPr="005B287A">
        <w:rPr>
          <w:rFonts w:cs="Arial"/>
          <w:sz w:val="24"/>
          <w:szCs w:val="24"/>
        </w:rPr>
        <w:t xml:space="preserve"> includ</w:t>
      </w:r>
      <w:r w:rsidR="00D60E6A" w:rsidRPr="005B287A">
        <w:rPr>
          <w:rFonts w:cs="Arial"/>
          <w:sz w:val="24"/>
          <w:szCs w:val="24"/>
        </w:rPr>
        <w:t xml:space="preserve">ed </w:t>
      </w:r>
      <w:r w:rsidRPr="005B287A">
        <w:rPr>
          <w:rFonts w:cs="Arial"/>
          <w:sz w:val="24"/>
          <w:szCs w:val="24"/>
        </w:rPr>
        <w:t>incident</w:t>
      </w:r>
      <w:r w:rsidR="00D60E6A" w:rsidRPr="005B287A">
        <w:rPr>
          <w:rFonts w:cs="Arial"/>
          <w:sz w:val="24"/>
          <w:szCs w:val="24"/>
        </w:rPr>
        <w:t>s</w:t>
      </w:r>
      <w:r w:rsidRPr="005B287A">
        <w:rPr>
          <w:rFonts w:cs="Arial"/>
          <w:sz w:val="24"/>
          <w:szCs w:val="24"/>
        </w:rPr>
        <w:t>, complaint</w:t>
      </w:r>
      <w:r w:rsidR="00D60E6A" w:rsidRPr="005B287A">
        <w:rPr>
          <w:rFonts w:cs="Arial"/>
          <w:sz w:val="24"/>
          <w:szCs w:val="24"/>
        </w:rPr>
        <w:t>s</w:t>
      </w:r>
      <w:r w:rsidRPr="005B287A">
        <w:rPr>
          <w:rFonts w:cs="Arial"/>
          <w:sz w:val="24"/>
          <w:szCs w:val="24"/>
        </w:rPr>
        <w:t>, inquest</w:t>
      </w:r>
      <w:r w:rsidR="00D60E6A" w:rsidRPr="005B287A">
        <w:rPr>
          <w:rFonts w:cs="Arial"/>
          <w:sz w:val="24"/>
          <w:szCs w:val="24"/>
        </w:rPr>
        <w:t>s</w:t>
      </w:r>
      <w:r w:rsidRPr="005B287A">
        <w:rPr>
          <w:rFonts w:cs="Arial"/>
          <w:sz w:val="24"/>
          <w:szCs w:val="24"/>
        </w:rPr>
        <w:t>, claims and mortality data</w:t>
      </w:r>
      <w:r w:rsidR="00380CDD" w:rsidRPr="005B287A">
        <w:rPr>
          <w:rFonts w:cs="Arial"/>
          <w:sz w:val="24"/>
          <w:szCs w:val="24"/>
        </w:rPr>
        <w:t xml:space="preserve"> (see </w:t>
      </w:r>
      <w:r w:rsidR="005631C8" w:rsidRPr="005B287A">
        <w:rPr>
          <w:rFonts w:cs="Arial"/>
          <w:sz w:val="24"/>
          <w:szCs w:val="24"/>
        </w:rPr>
        <w:t>T</w:t>
      </w:r>
      <w:r w:rsidR="00380CDD" w:rsidRPr="005B287A">
        <w:rPr>
          <w:rFonts w:cs="Arial"/>
          <w:sz w:val="24"/>
          <w:szCs w:val="24"/>
        </w:rPr>
        <w:t xml:space="preserve">able </w:t>
      </w:r>
      <w:r w:rsidR="007251BD" w:rsidRPr="005B287A">
        <w:rPr>
          <w:rFonts w:cs="Arial"/>
          <w:sz w:val="24"/>
          <w:szCs w:val="24"/>
        </w:rPr>
        <w:t>T</w:t>
      </w:r>
      <w:r w:rsidR="005631C8" w:rsidRPr="005B287A">
        <w:rPr>
          <w:rFonts w:cs="Arial"/>
          <w:sz w:val="24"/>
          <w:szCs w:val="24"/>
        </w:rPr>
        <w:t>wo</w:t>
      </w:r>
      <w:r w:rsidR="007251BD" w:rsidRPr="005B287A">
        <w:rPr>
          <w:rFonts w:cs="Arial"/>
          <w:sz w:val="24"/>
          <w:szCs w:val="24"/>
        </w:rPr>
        <w:t xml:space="preserve"> and Data review summary table</w:t>
      </w:r>
      <w:r w:rsidR="00380CDD" w:rsidRPr="005B287A">
        <w:rPr>
          <w:rFonts w:cs="Arial"/>
          <w:sz w:val="24"/>
          <w:szCs w:val="24"/>
        </w:rPr>
        <w:t>)</w:t>
      </w:r>
      <w:r w:rsidRPr="005B287A">
        <w:rPr>
          <w:rFonts w:cs="Arial"/>
          <w:sz w:val="24"/>
          <w:szCs w:val="24"/>
        </w:rPr>
        <w:t>. We also considered our learning from incidents, causal and contributory factors from incident review</w:t>
      </w:r>
      <w:r w:rsidR="00701624" w:rsidRPr="005B287A">
        <w:rPr>
          <w:rFonts w:cs="Arial"/>
          <w:sz w:val="24"/>
          <w:szCs w:val="24"/>
        </w:rPr>
        <w:t>s</w:t>
      </w:r>
      <w:r w:rsidRPr="005B287A">
        <w:rPr>
          <w:rFonts w:cs="Arial"/>
          <w:sz w:val="24"/>
          <w:szCs w:val="24"/>
        </w:rPr>
        <w:t>, post infection reviews and safeguarding reviews. The soft intelligence gained through our engagement phase has also been used to inform our priorities</w:t>
      </w:r>
      <w:r w:rsidR="005631C8" w:rsidRPr="005B287A">
        <w:rPr>
          <w:rFonts w:cs="Arial"/>
          <w:sz w:val="24"/>
          <w:szCs w:val="24"/>
        </w:rPr>
        <w:t xml:space="preserve">. </w:t>
      </w:r>
    </w:p>
    <w:p w14:paraId="23E40978" w14:textId="77777777" w:rsidR="001018D6" w:rsidRPr="005B287A" w:rsidRDefault="001018D6" w:rsidP="004B64CE">
      <w:pPr>
        <w:spacing w:after="0"/>
        <w:ind w:left="-284" w:right="7"/>
        <w:rPr>
          <w:rFonts w:cs="Arial"/>
          <w:sz w:val="24"/>
          <w:szCs w:val="24"/>
        </w:rPr>
      </w:pPr>
    </w:p>
    <w:p w14:paraId="759CF574" w14:textId="2BD58D8A" w:rsidR="007251BD" w:rsidRDefault="00EC24B8" w:rsidP="007251BD">
      <w:pPr>
        <w:spacing w:after="0"/>
        <w:ind w:left="-284" w:right="7"/>
        <w:rPr>
          <w:rFonts w:cs="Arial"/>
          <w:sz w:val="24"/>
          <w:szCs w:val="24"/>
        </w:rPr>
      </w:pPr>
      <w:r w:rsidRPr="005B287A">
        <w:rPr>
          <w:rFonts w:cs="Arial"/>
          <w:sz w:val="24"/>
          <w:szCs w:val="24"/>
        </w:rPr>
        <w:t xml:space="preserve">A period of four years </w:t>
      </w:r>
      <w:r w:rsidR="007251BD" w:rsidRPr="005B287A">
        <w:rPr>
          <w:rFonts w:cs="Arial"/>
          <w:sz w:val="24"/>
          <w:szCs w:val="24"/>
        </w:rPr>
        <w:t xml:space="preserve">(1 April 2019- 31 March 2022) </w:t>
      </w:r>
      <w:r w:rsidRPr="005B287A">
        <w:rPr>
          <w:rFonts w:cs="Arial"/>
          <w:sz w:val="24"/>
          <w:szCs w:val="24"/>
        </w:rPr>
        <w:t xml:space="preserve">was used to inform our </w:t>
      </w:r>
      <w:r w:rsidR="005631C8" w:rsidRPr="005B287A">
        <w:rPr>
          <w:rFonts w:cs="Arial"/>
          <w:sz w:val="24"/>
          <w:szCs w:val="24"/>
        </w:rPr>
        <w:t xml:space="preserve">priorities </w:t>
      </w:r>
      <w:r w:rsidRPr="005B287A">
        <w:rPr>
          <w:rFonts w:cs="Arial"/>
          <w:sz w:val="24"/>
          <w:szCs w:val="24"/>
        </w:rPr>
        <w:t>to include one-year pre COVID-19 pandemic in this first Patient Safety Incident Response Plan.</w:t>
      </w:r>
      <w:r w:rsidR="00FF48BE" w:rsidRPr="005B287A">
        <w:rPr>
          <w:rFonts w:cs="Arial"/>
          <w:sz w:val="24"/>
          <w:szCs w:val="24"/>
        </w:rPr>
        <w:t xml:space="preserve"> </w:t>
      </w:r>
      <w:r w:rsidR="005631C8" w:rsidRPr="005B287A">
        <w:rPr>
          <w:rFonts w:cs="Arial"/>
          <w:sz w:val="24"/>
          <w:szCs w:val="24"/>
        </w:rPr>
        <w:t xml:space="preserve">The diagram below depicts the data </w:t>
      </w:r>
      <w:r w:rsidRPr="005B287A">
        <w:rPr>
          <w:rFonts w:cs="Arial"/>
          <w:sz w:val="24"/>
          <w:szCs w:val="24"/>
        </w:rPr>
        <w:t>reviewed</w:t>
      </w:r>
      <w:r w:rsidR="005631C8" w:rsidRPr="005B287A">
        <w:rPr>
          <w:rFonts w:cs="Arial"/>
          <w:sz w:val="24"/>
          <w:szCs w:val="24"/>
        </w:rPr>
        <w:t>.</w:t>
      </w:r>
    </w:p>
    <w:p w14:paraId="7AE7030F" w14:textId="77777777" w:rsidR="007251BD" w:rsidRDefault="007251BD" w:rsidP="007251BD">
      <w:pPr>
        <w:spacing w:after="0"/>
        <w:ind w:left="-284" w:right="7"/>
        <w:rPr>
          <w:rFonts w:cs="Arial"/>
          <w:sz w:val="24"/>
          <w:szCs w:val="24"/>
        </w:rPr>
      </w:pPr>
    </w:p>
    <w:p w14:paraId="3E107709" w14:textId="3C44F541" w:rsidR="00EC24B8" w:rsidRPr="004B64CE" w:rsidRDefault="000C200D" w:rsidP="007251BD">
      <w:pPr>
        <w:spacing w:after="0"/>
        <w:ind w:left="-284" w:right="7"/>
        <w:rPr>
          <w:rFonts w:cs="Arial"/>
          <w:sz w:val="24"/>
          <w:szCs w:val="24"/>
        </w:rPr>
      </w:pPr>
      <w:r>
        <w:rPr>
          <w:rFonts w:cs="Arial"/>
          <w:b/>
          <w:bCs/>
          <w:sz w:val="24"/>
          <w:szCs w:val="24"/>
        </w:rPr>
        <w:lastRenderedPageBreak/>
        <w:t>Infographic one: Overview of data reviewed</w:t>
      </w:r>
      <w:r w:rsidR="00701624" w:rsidRPr="004B64CE">
        <w:rPr>
          <w:rFonts w:cs="Arial"/>
          <w:noProof/>
          <w:sz w:val="24"/>
          <w:szCs w:val="24"/>
        </w:rPr>
        <w:drawing>
          <wp:inline distT="0" distB="0" distL="0" distR="0" wp14:anchorId="1A020AB5" wp14:editId="4488EAF2">
            <wp:extent cx="5267325" cy="2743200"/>
            <wp:effectExtent l="0" t="0" r="0" b="19050"/>
            <wp:docPr id="211172534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8B37621" w14:textId="20945417" w:rsidR="00EC24B8" w:rsidRPr="004B64CE" w:rsidRDefault="00EC24B8" w:rsidP="004B64CE">
      <w:pPr>
        <w:spacing w:after="0"/>
        <w:rPr>
          <w:rFonts w:cs="Arial"/>
          <w:sz w:val="24"/>
          <w:szCs w:val="24"/>
        </w:rPr>
      </w:pPr>
    </w:p>
    <w:p w14:paraId="4F7D8659" w14:textId="77777777" w:rsidR="005631C8" w:rsidRDefault="005631C8" w:rsidP="004B64CE">
      <w:pPr>
        <w:spacing w:after="0" w:line="259" w:lineRule="auto"/>
        <w:rPr>
          <w:rFonts w:cs="Arial"/>
          <w:sz w:val="24"/>
          <w:szCs w:val="24"/>
        </w:rPr>
      </w:pPr>
    </w:p>
    <w:p w14:paraId="7891211A" w14:textId="77C25180" w:rsidR="00EC24B8" w:rsidRPr="007251BD" w:rsidRDefault="000C200D" w:rsidP="004B64CE">
      <w:pPr>
        <w:spacing w:after="0" w:line="259" w:lineRule="auto"/>
        <w:rPr>
          <w:rFonts w:cs="Arial"/>
          <w:b/>
          <w:bCs/>
          <w:sz w:val="24"/>
          <w:szCs w:val="24"/>
        </w:rPr>
      </w:pPr>
      <w:r>
        <w:rPr>
          <w:rFonts w:cs="Arial"/>
          <w:b/>
          <w:bCs/>
          <w:sz w:val="24"/>
          <w:szCs w:val="24"/>
        </w:rPr>
        <w:t xml:space="preserve">Table two: </w:t>
      </w:r>
      <w:r w:rsidR="007251BD" w:rsidRPr="007251BD">
        <w:rPr>
          <w:rFonts w:cs="Arial"/>
          <w:b/>
          <w:bCs/>
          <w:sz w:val="24"/>
          <w:szCs w:val="24"/>
        </w:rPr>
        <w:t xml:space="preserve">Data review summary: </w:t>
      </w:r>
      <w:r w:rsidR="00EC24B8" w:rsidRPr="007251BD">
        <w:rPr>
          <w:rFonts w:cs="Arial"/>
          <w:b/>
          <w:bCs/>
          <w:sz w:val="24"/>
          <w:szCs w:val="24"/>
        </w:rPr>
        <w:t xml:space="preserve"> </w:t>
      </w:r>
    </w:p>
    <w:tbl>
      <w:tblPr>
        <w:tblStyle w:val="TableGrid"/>
        <w:tblW w:w="9351" w:type="dxa"/>
        <w:tblLook w:val="04A0" w:firstRow="1" w:lastRow="0" w:firstColumn="1" w:lastColumn="0" w:noHBand="0" w:noVBand="1"/>
      </w:tblPr>
      <w:tblGrid>
        <w:gridCol w:w="9351"/>
      </w:tblGrid>
      <w:tr w:rsidR="00EC24B8" w:rsidRPr="004B64CE" w14:paraId="79458C61" w14:textId="77777777" w:rsidTr="00EC24B8">
        <w:tc>
          <w:tcPr>
            <w:tcW w:w="9351" w:type="dxa"/>
            <w:shd w:val="clear" w:color="auto" w:fill="C8CAE7" w:themeFill="text2" w:themeFillTint="33"/>
          </w:tcPr>
          <w:p w14:paraId="133D342B" w14:textId="77777777" w:rsidR="005631C8" w:rsidRPr="005631C8" w:rsidRDefault="00D16F4D" w:rsidP="005631C8">
            <w:pPr>
              <w:rPr>
                <w:rFonts w:cs="Arial"/>
              </w:rPr>
            </w:pPr>
            <w:r w:rsidRPr="005631C8">
              <w:rPr>
                <w:rFonts w:cs="Arial"/>
                <w:b/>
                <w:bCs/>
              </w:rPr>
              <w:t>Incidents</w:t>
            </w:r>
            <w:r w:rsidRPr="005631C8">
              <w:rPr>
                <w:rFonts w:cs="Arial"/>
              </w:rPr>
              <w:t xml:space="preserve">: </w:t>
            </w:r>
            <w:r w:rsidR="00EC24B8" w:rsidRPr="005631C8">
              <w:rPr>
                <w:rFonts w:cs="Arial"/>
              </w:rPr>
              <w:t>There were 21</w:t>
            </w:r>
            <w:r w:rsidR="005631C8" w:rsidRPr="005631C8">
              <w:rPr>
                <w:rFonts w:cs="Arial"/>
              </w:rPr>
              <w:t>,</w:t>
            </w:r>
            <w:r w:rsidR="00EC24B8" w:rsidRPr="005631C8">
              <w:rPr>
                <w:rFonts w:cs="Arial"/>
              </w:rPr>
              <w:t>353 incidents recorded during the four-year period</w:t>
            </w:r>
            <w:r w:rsidR="005631C8" w:rsidRPr="005631C8">
              <w:rPr>
                <w:rFonts w:cs="Arial"/>
              </w:rPr>
              <w:t xml:space="preserve">. This is broken down by annual </w:t>
            </w:r>
            <w:r w:rsidR="00701624" w:rsidRPr="005631C8">
              <w:rPr>
                <w:rFonts w:cs="Arial"/>
              </w:rPr>
              <w:t>incidence within the table below</w:t>
            </w:r>
            <w:r w:rsidR="005631C8">
              <w:rPr>
                <w:rFonts w:cs="Arial"/>
              </w:rPr>
              <w:t xml:space="preserve">. </w:t>
            </w:r>
            <w:r w:rsidR="005631C8" w:rsidRPr="005631C8">
              <w:rPr>
                <w:rFonts w:cs="Arial"/>
              </w:rPr>
              <w:t>As expected, the data shows an increase in incidents for the 2020/21 period which coincides with the onset and first lockdown of the COVID-19 pandemic.</w:t>
            </w:r>
          </w:p>
          <w:p w14:paraId="207FA774" w14:textId="77777777" w:rsidR="001018D6" w:rsidRPr="005631C8" w:rsidRDefault="001018D6" w:rsidP="004B64CE">
            <w:pPr>
              <w:rPr>
                <w:rFonts w:cs="Arial"/>
              </w:rPr>
            </w:pPr>
          </w:p>
          <w:tbl>
            <w:tblPr>
              <w:tblStyle w:val="TableGrid"/>
              <w:tblW w:w="0" w:type="auto"/>
              <w:jc w:val="center"/>
              <w:tblLook w:val="04A0" w:firstRow="1" w:lastRow="0" w:firstColumn="1" w:lastColumn="0" w:noHBand="0" w:noVBand="1"/>
            </w:tblPr>
            <w:tblGrid>
              <w:gridCol w:w="1151"/>
              <w:gridCol w:w="2138"/>
            </w:tblGrid>
            <w:tr w:rsidR="00EC24B8" w:rsidRPr="005631C8" w14:paraId="6A01205A" w14:textId="77777777" w:rsidTr="005631C8">
              <w:trPr>
                <w:trHeight w:val="319"/>
                <w:jc w:val="center"/>
              </w:trPr>
              <w:tc>
                <w:tcPr>
                  <w:tcW w:w="1151" w:type="dxa"/>
                </w:tcPr>
                <w:p w14:paraId="0CF73569" w14:textId="77777777" w:rsidR="00EC24B8" w:rsidRPr="005631C8" w:rsidRDefault="00EC24B8" w:rsidP="004B64CE">
                  <w:pPr>
                    <w:spacing w:line="276" w:lineRule="auto"/>
                    <w:jc w:val="center"/>
                    <w:rPr>
                      <w:rFonts w:cs="Arial"/>
                      <w:b/>
                      <w:bCs/>
                    </w:rPr>
                  </w:pPr>
                  <w:r w:rsidRPr="005631C8">
                    <w:rPr>
                      <w:rFonts w:cs="Arial"/>
                      <w:b/>
                      <w:bCs/>
                    </w:rPr>
                    <w:t>Year</w:t>
                  </w:r>
                </w:p>
              </w:tc>
              <w:tc>
                <w:tcPr>
                  <w:tcW w:w="2138" w:type="dxa"/>
                </w:tcPr>
                <w:p w14:paraId="02C8BCD6" w14:textId="69A38EB2" w:rsidR="00EC24B8" w:rsidRPr="005631C8" w:rsidRDefault="00EC24B8" w:rsidP="004B64CE">
                  <w:pPr>
                    <w:spacing w:line="276" w:lineRule="auto"/>
                    <w:jc w:val="center"/>
                    <w:rPr>
                      <w:rFonts w:cs="Arial"/>
                      <w:b/>
                      <w:bCs/>
                    </w:rPr>
                  </w:pPr>
                  <w:r w:rsidRPr="005631C8">
                    <w:rPr>
                      <w:rFonts w:cs="Arial"/>
                      <w:b/>
                      <w:bCs/>
                    </w:rPr>
                    <w:t>N</w:t>
                  </w:r>
                  <w:r w:rsidR="005631C8" w:rsidRPr="005631C8">
                    <w:rPr>
                      <w:rFonts w:cs="Arial"/>
                      <w:b/>
                      <w:bCs/>
                    </w:rPr>
                    <w:t xml:space="preserve">o. </w:t>
                  </w:r>
                  <w:r w:rsidR="00701624" w:rsidRPr="005631C8">
                    <w:rPr>
                      <w:rFonts w:cs="Arial"/>
                      <w:b/>
                      <w:bCs/>
                    </w:rPr>
                    <w:t>of incidents</w:t>
                  </w:r>
                </w:p>
              </w:tc>
            </w:tr>
            <w:tr w:rsidR="00EC24B8" w:rsidRPr="005631C8" w14:paraId="2C7812F4" w14:textId="77777777" w:rsidTr="005631C8">
              <w:trPr>
                <w:jc w:val="center"/>
              </w:trPr>
              <w:tc>
                <w:tcPr>
                  <w:tcW w:w="1151" w:type="dxa"/>
                </w:tcPr>
                <w:p w14:paraId="484308E5" w14:textId="77777777" w:rsidR="00EC24B8" w:rsidRPr="005631C8" w:rsidRDefault="00EC24B8" w:rsidP="004B64CE">
                  <w:pPr>
                    <w:spacing w:line="276" w:lineRule="auto"/>
                    <w:jc w:val="center"/>
                    <w:rPr>
                      <w:rFonts w:cs="Arial"/>
                    </w:rPr>
                  </w:pPr>
                  <w:r w:rsidRPr="005631C8">
                    <w:rPr>
                      <w:rFonts w:cs="Arial"/>
                    </w:rPr>
                    <w:t>2019/20</w:t>
                  </w:r>
                </w:p>
              </w:tc>
              <w:tc>
                <w:tcPr>
                  <w:tcW w:w="2138" w:type="dxa"/>
                </w:tcPr>
                <w:p w14:paraId="4EB90EC2" w14:textId="77777777" w:rsidR="00EC24B8" w:rsidRPr="005631C8" w:rsidRDefault="00EC24B8" w:rsidP="004B64CE">
                  <w:pPr>
                    <w:spacing w:line="276" w:lineRule="auto"/>
                    <w:jc w:val="center"/>
                    <w:rPr>
                      <w:rFonts w:cs="Arial"/>
                    </w:rPr>
                  </w:pPr>
                  <w:r w:rsidRPr="005631C8">
                    <w:rPr>
                      <w:rFonts w:cs="Arial"/>
                    </w:rPr>
                    <w:t>4779</w:t>
                  </w:r>
                </w:p>
              </w:tc>
            </w:tr>
            <w:tr w:rsidR="00EC24B8" w:rsidRPr="005631C8" w14:paraId="07451C33" w14:textId="77777777" w:rsidTr="005631C8">
              <w:trPr>
                <w:jc w:val="center"/>
              </w:trPr>
              <w:tc>
                <w:tcPr>
                  <w:tcW w:w="1151" w:type="dxa"/>
                </w:tcPr>
                <w:p w14:paraId="157BD264" w14:textId="77777777" w:rsidR="00EC24B8" w:rsidRPr="005631C8" w:rsidRDefault="00EC24B8" w:rsidP="004B64CE">
                  <w:pPr>
                    <w:spacing w:line="276" w:lineRule="auto"/>
                    <w:jc w:val="center"/>
                    <w:rPr>
                      <w:rFonts w:cs="Arial"/>
                    </w:rPr>
                  </w:pPr>
                  <w:r w:rsidRPr="005631C8">
                    <w:rPr>
                      <w:rFonts w:cs="Arial"/>
                    </w:rPr>
                    <w:t>2020/21</w:t>
                  </w:r>
                </w:p>
              </w:tc>
              <w:tc>
                <w:tcPr>
                  <w:tcW w:w="2138" w:type="dxa"/>
                </w:tcPr>
                <w:p w14:paraId="4A42FF33" w14:textId="77777777" w:rsidR="00EC24B8" w:rsidRPr="005631C8" w:rsidRDefault="00EC24B8" w:rsidP="004B64CE">
                  <w:pPr>
                    <w:spacing w:line="276" w:lineRule="auto"/>
                    <w:jc w:val="center"/>
                    <w:rPr>
                      <w:rFonts w:cs="Arial"/>
                    </w:rPr>
                  </w:pPr>
                  <w:r w:rsidRPr="005631C8">
                    <w:rPr>
                      <w:rFonts w:cs="Arial"/>
                    </w:rPr>
                    <w:t>6139</w:t>
                  </w:r>
                </w:p>
              </w:tc>
            </w:tr>
            <w:tr w:rsidR="00EC24B8" w:rsidRPr="005631C8" w14:paraId="0180B473" w14:textId="77777777" w:rsidTr="005631C8">
              <w:trPr>
                <w:jc w:val="center"/>
              </w:trPr>
              <w:tc>
                <w:tcPr>
                  <w:tcW w:w="1151" w:type="dxa"/>
                </w:tcPr>
                <w:p w14:paraId="01578DBF" w14:textId="77777777" w:rsidR="00EC24B8" w:rsidRPr="005631C8" w:rsidRDefault="00EC24B8" w:rsidP="004B64CE">
                  <w:pPr>
                    <w:spacing w:line="276" w:lineRule="auto"/>
                    <w:jc w:val="center"/>
                    <w:rPr>
                      <w:rFonts w:cs="Arial"/>
                    </w:rPr>
                  </w:pPr>
                  <w:r w:rsidRPr="005631C8">
                    <w:rPr>
                      <w:rFonts w:cs="Arial"/>
                    </w:rPr>
                    <w:t>2021/22</w:t>
                  </w:r>
                </w:p>
              </w:tc>
              <w:tc>
                <w:tcPr>
                  <w:tcW w:w="2138" w:type="dxa"/>
                </w:tcPr>
                <w:p w14:paraId="16E59B3A" w14:textId="77777777" w:rsidR="00EC24B8" w:rsidRPr="005631C8" w:rsidRDefault="00EC24B8" w:rsidP="004B64CE">
                  <w:pPr>
                    <w:spacing w:line="276" w:lineRule="auto"/>
                    <w:jc w:val="center"/>
                    <w:rPr>
                      <w:rFonts w:cs="Arial"/>
                    </w:rPr>
                  </w:pPr>
                  <w:r w:rsidRPr="005631C8">
                    <w:rPr>
                      <w:rFonts w:cs="Arial"/>
                    </w:rPr>
                    <w:t>5065</w:t>
                  </w:r>
                </w:p>
              </w:tc>
            </w:tr>
            <w:tr w:rsidR="00EC24B8" w:rsidRPr="005631C8" w14:paraId="3D26697D" w14:textId="77777777" w:rsidTr="005631C8">
              <w:trPr>
                <w:jc w:val="center"/>
              </w:trPr>
              <w:tc>
                <w:tcPr>
                  <w:tcW w:w="1151" w:type="dxa"/>
                </w:tcPr>
                <w:p w14:paraId="41975D7B" w14:textId="77777777" w:rsidR="00EC24B8" w:rsidRPr="005631C8" w:rsidRDefault="00EC24B8" w:rsidP="004B64CE">
                  <w:pPr>
                    <w:spacing w:line="276" w:lineRule="auto"/>
                    <w:jc w:val="center"/>
                    <w:rPr>
                      <w:rFonts w:cs="Arial"/>
                    </w:rPr>
                  </w:pPr>
                  <w:r w:rsidRPr="005631C8">
                    <w:rPr>
                      <w:rFonts w:cs="Arial"/>
                    </w:rPr>
                    <w:t>2022/23</w:t>
                  </w:r>
                </w:p>
              </w:tc>
              <w:tc>
                <w:tcPr>
                  <w:tcW w:w="2138" w:type="dxa"/>
                </w:tcPr>
                <w:p w14:paraId="66EA14A2" w14:textId="77777777" w:rsidR="00EC24B8" w:rsidRPr="005631C8" w:rsidRDefault="00EC24B8" w:rsidP="004B64CE">
                  <w:pPr>
                    <w:spacing w:line="276" w:lineRule="auto"/>
                    <w:jc w:val="center"/>
                    <w:rPr>
                      <w:rFonts w:cs="Arial"/>
                    </w:rPr>
                  </w:pPr>
                  <w:r w:rsidRPr="005631C8">
                    <w:rPr>
                      <w:rFonts w:cs="Arial"/>
                    </w:rPr>
                    <w:t>5370</w:t>
                  </w:r>
                </w:p>
              </w:tc>
            </w:tr>
          </w:tbl>
          <w:p w14:paraId="4BC01083" w14:textId="77777777" w:rsidR="001018D6" w:rsidRPr="005631C8" w:rsidRDefault="001018D6" w:rsidP="004B64CE">
            <w:pPr>
              <w:rPr>
                <w:rFonts w:cs="Arial"/>
              </w:rPr>
            </w:pPr>
          </w:p>
          <w:p w14:paraId="180BAF6F" w14:textId="68AAAD00" w:rsidR="005631C8" w:rsidRDefault="00EC24B8" w:rsidP="004B64CE">
            <w:pPr>
              <w:rPr>
                <w:rFonts w:cs="Arial"/>
              </w:rPr>
            </w:pPr>
            <w:r w:rsidRPr="005631C8">
              <w:rPr>
                <w:rFonts w:cs="Arial"/>
              </w:rPr>
              <w:t>The highest reported category of incident</w:t>
            </w:r>
            <w:r w:rsidR="005631C8">
              <w:rPr>
                <w:rFonts w:cs="Arial"/>
              </w:rPr>
              <w:t>s,</w:t>
            </w:r>
            <w:r w:rsidRPr="005631C8">
              <w:rPr>
                <w:rFonts w:cs="Arial"/>
              </w:rPr>
              <w:t xml:space="preserve"> annually and in total</w:t>
            </w:r>
            <w:r w:rsidR="005631C8">
              <w:rPr>
                <w:rFonts w:cs="Arial"/>
              </w:rPr>
              <w:t>,</w:t>
            </w:r>
            <w:r w:rsidRPr="005631C8">
              <w:rPr>
                <w:rFonts w:cs="Arial"/>
              </w:rPr>
              <w:t xml:space="preserve"> </w:t>
            </w:r>
            <w:r w:rsidR="005631C8">
              <w:rPr>
                <w:rFonts w:cs="Arial"/>
              </w:rPr>
              <w:t xml:space="preserve">in order, </w:t>
            </w:r>
            <w:r w:rsidRPr="005631C8">
              <w:rPr>
                <w:rFonts w:cs="Arial"/>
              </w:rPr>
              <w:t>was</w:t>
            </w:r>
            <w:r w:rsidR="005631C8">
              <w:rPr>
                <w:rFonts w:cs="Arial"/>
              </w:rPr>
              <w:t>:</w:t>
            </w:r>
          </w:p>
          <w:p w14:paraId="2239E7F5" w14:textId="77777777" w:rsidR="005631C8" w:rsidRPr="005631C8" w:rsidRDefault="005631C8" w:rsidP="005631C8">
            <w:pPr>
              <w:pStyle w:val="ListParagraph"/>
              <w:numPr>
                <w:ilvl w:val="0"/>
                <w:numId w:val="47"/>
              </w:numPr>
              <w:rPr>
                <w:rFonts w:cs="Arial"/>
              </w:rPr>
            </w:pPr>
            <w:r w:rsidRPr="005631C8">
              <w:rPr>
                <w:rFonts w:cs="Arial"/>
              </w:rPr>
              <w:t>S</w:t>
            </w:r>
            <w:r w:rsidR="00EC24B8" w:rsidRPr="005631C8">
              <w:rPr>
                <w:rFonts w:cs="Arial"/>
              </w:rPr>
              <w:t>kin damage</w:t>
            </w:r>
          </w:p>
          <w:p w14:paraId="699BFA3B" w14:textId="77777777" w:rsidR="005631C8" w:rsidRPr="005631C8" w:rsidRDefault="005631C8" w:rsidP="005631C8">
            <w:pPr>
              <w:pStyle w:val="ListParagraph"/>
              <w:numPr>
                <w:ilvl w:val="0"/>
                <w:numId w:val="47"/>
              </w:numPr>
              <w:rPr>
                <w:rFonts w:cs="Arial"/>
              </w:rPr>
            </w:pPr>
            <w:r w:rsidRPr="005631C8">
              <w:rPr>
                <w:rFonts w:cs="Arial"/>
              </w:rPr>
              <w:t>P</w:t>
            </w:r>
            <w:r w:rsidR="00EC24B8" w:rsidRPr="005631C8">
              <w:rPr>
                <w:rFonts w:cs="Arial"/>
              </w:rPr>
              <w:t>atient falls</w:t>
            </w:r>
          </w:p>
          <w:p w14:paraId="3C94ECA8" w14:textId="77777777" w:rsidR="005631C8" w:rsidRPr="005631C8" w:rsidRDefault="005631C8" w:rsidP="005631C8">
            <w:pPr>
              <w:pStyle w:val="ListParagraph"/>
              <w:numPr>
                <w:ilvl w:val="0"/>
                <w:numId w:val="47"/>
              </w:numPr>
              <w:rPr>
                <w:rFonts w:cs="Arial"/>
              </w:rPr>
            </w:pPr>
            <w:r w:rsidRPr="005631C8">
              <w:rPr>
                <w:rFonts w:cs="Arial"/>
              </w:rPr>
              <w:t>M</w:t>
            </w:r>
            <w:r w:rsidR="00EC24B8" w:rsidRPr="005631C8">
              <w:rPr>
                <w:rFonts w:cs="Arial"/>
              </w:rPr>
              <w:t>edication</w:t>
            </w:r>
          </w:p>
          <w:p w14:paraId="23A384FE" w14:textId="77777777" w:rsidR="005631C8" w:rsidRPr="005631C8" w:rsidRDefault="005631C8" w:rsidP="005631C8">
            <w:pPr>
              <w:pStyle w:val="ListParagraph"/>
              <w:numPr>
                <w:ilvl w:val="0"/>
                <w:numId w:val="47"/>
              </w:numPr>
              <w:rPr>
                <w:rFonts w:cs="Arial"/>
              </w:rPr>
            </w:pPr>
            <w:r w:rsidRPr="005631C8">
              <w:rPr>
                <w:rFonts w:cs="Arial"/>
              </w:rPr>
              <w:t>A</w:t>
            </w:r>
            <w:r w:rsidR="00EC24B8" w:rsidRPr="005631C8">
              <w:rPr>
                <w:rFonts w:cs="Arial"/>
              </w:rPr>
              <w:t>ccess/ admission/ appointment/ transfer/ discharge</w:t>
            </w:r>
          </w:p>
          <w:p w14:paraId="2FBDE3DA" w14:textId="77777777" w:rsidR="005631C8" w:rsidRPr="005631C8" w:rsidRDefault="005631C8" w:rsidP="005631C8">
            <w:pPr>
              <w:pStyle w:val="ListParagraph"/>
              <w:numPr>
                <w:ilvl w:val="0"/>
                <w:numId w:val="47"/>
              </w:numPr>
              <w:rPr>
                <w:rFonts w:cs="Arial"/>
              </w:rPr>
            </w:pPr>
            <w:r w:rsidRPr="005631C8">
              <w:rPr>
                <w:rFonts w:cs="Arial"/>
              </w:rPr>
              <w:t>S</w:t>
            </w:r>
            <w:r w:rsidR="003911FE" w:rsidRPr="005631C8">
              <w:rPr>
                <w:rFonts w:cs="Arial"/>
              </w:rPr>
              <w:t xml:space="preserve">elf-harm </w:t>
            </w:r>
          </w:p>
          <w:p w14:paraId="57F9C1D9" w14:textId="22DAEF99" w:rsidR="00EC24B8" w:rsidRPr="005631C8" w:rsidRDefault="005631C8" w:rsidP="005631C8">
            <w:pPr>
              <w:pStyle w:val="ListParagraph"/>
              <w:numPr>
                <w:ilvl w:val="0"/>
                <w:numId w:val="47"/>
              </w:numPr>
              <w:rPr>
                <w:rFonts w:cs="Arial"/>
              </w:rPr>
            </w:pPr>
            <w:r w:rsidRPr="005631C8">
              <w:rPr>
                <w:rFonts w:cs="Arial"/>
              </w:rPr>
              <w:t>I</w:t>
            </w:r>
            <w:r w:rsidR="00EC24B8" w:rsidRPr="005631C8">
              <w:rPr>
                <w:rFonts w:cs="Arial"/>
              </w:rPr>
              <w:t>mplementation of care.</w:t>
            </w:r>
          </w:p>
          <w:p w14:paraId="566F65AC" w14:textId="77777777" w:rsidR="001018D6" w:rsidRPr="005631C8" w:rsidRDefault="001018D6" w:rsidP="004B64CE">
            <w:pPr>
              <w:rPr>
                <w:rFonts w:cs="Arial"/>
              </w:rPr>
            </w:pPr>
          </w:p>
          <w:p w14:paraId="238E8809" w14:textId="1ABAFE93" w:rsidR="00EC24B8" w:rsidRDefault="005631C8" w:rsidP="004B64CE">
            <w:pPr>
              <w:rPr>
                <w:rFonts w:cs="Arial"/>
              </w:rPr>
            </w:pPr>
            <w:r>
              <w:rPr>
                <w:rFonts w:cs="Arial"/>
              </w:rPr>
              <w:t xml:space="preserve">On further analysis, </w:t>
            </w:r>
            <w:r w:rsidR="00EC24B8" w:rsidRPr="005631C8">
              <w:rPr>
                <w:rFonts w:cs="Arial"/>
              </w:rPr>
              <w:t>although medication was the third most frequent</w:t>
            </w:r>
            <w:r>
              <w:rPr>
                <w:rFonts w:cs="Arial"/>
              </w:rPr>
              <w:t>ly reported</w:t>
            </w:r>
            <w:r w:rsidR="00EC24B8" w:rsidRPr="005631C8">
              <w:rPr>
                <w:rFonts w:cs="Arial"/>
              </w:rPr>
              <w:t xml:space="preserve"> incident, </w:t>
            </w:r>
            <w:r w:rsidR="003911FE" w:rsidRPr="005631C8">
              <w:rPr>
                <w:rFonts w:cs="Arial"/>
              </w:rPr>
              <w:t xml:space="preserve">quarterly analysis by the medicines management team shows these </w:t>
            </w:r>
            <w:r w:rsidR="00EC24B8" w:rsidRPr="005631C8">
              <w:rPr>
                <w:rFonts w:cs="Arial"/>
              </w:rPr>
              <w:t>generally occurred because of a preceding incident</w:t>
            </w:r>
            <w:r w:rsidR="003911FE" w:rsidRPr="005631C8">
              <w:rPr>
                <w:rFonts w:cs="Arial"/>
              </w:rPr>
              <w:t>, for example, a missed visit</w:t>
            </w:r>
            <w:r w:rsidR="00EC24B8" w:rsidRPr="005631C8">
              <w:rPr>
                <w:rFonts w:cs="Arial"/>
              </w:rPr>
              <w:t xml:space="preserve">. These </w:t>
            </w:r>
            <w:r w:rsidR="003911FE" w:rsidRPr="005631C8">
              <w:rPr>
                <w:rFonts w:cs="Arial"/>
              </w:rPr>
              <w:t>incidents were p</w:t>
            </w:r>
            <w:r w:rsidR="00EC24B8" w:rsidRPr="005631C8">
              <w:rPr>
                <w:rFonts w:cs="Arial"/>
              </w:rPr>
              <w:t>redominantly no or low harm incidents</w:t>
            </w:r>
            <w:r w:rsidR="0089699F">
              <w:rPr>
                <w:rFonts w:cs="Arial"/>
              </w:rPr>
              <w:t xml:space="preserve"> (99.5%)</w:t>
            </w:r>
            <w:r w:rsidR="003911FE" w:rsidRPr="005631C8">
              <w:rPr>
                <w:rFonts w:cs="Arial"/>
              </w:rPr>
              <w:t xml:space="preserve"> with</w:t>
            </w:r>
            <w:r w:rsidR="0089699F">
              <w:rPr>
                <w:rFonts w:cs="Arial"/>
              </w:rPr>
              <w:t xml:space="preserve"> the remaining</w:t>
            </w:r>
            <w:r w:rsidR="003911FE" w:rsidRPr="005631C8">
              <w:rPr>
                <w:rFonts w:cs="Arial"/>
              </w:rPr>
              <w:t xml:space="preserve"> 0.5% of medication incidents resulting in moderate or major harm. During the period </w:t>
            </w:r>
            <w:r w:rsidR="0089699F">
              <w:rPr>
                <w:rFonts w:cs="Arial"/>
              </w:rPr>
              <w:t xml:space="preserve">analysed </w:t>
            </w:r>
            <w:r w:rsidR="003911FE" w:rsidRPr="005631C8">
              <w:rPr>
                <w:rFonts w:cs="Arial"/>
              </w:rPr>
              <w:t>only one incident (0.02%) was</w:t>
            </w:r>
            <w:r w:rsidR="0089699F">
              <w:rPr>
                <w:rFonts w:cs="Arial"/>
              </w:rPr>
              <w:t xml:space="preserve"> identified to meet the </w:t>
            </w:r>
            <w:r w:rsidR="003911FE" w:rsidRPr="005631C8">
              <w:rPr>
                <w:rFonts w:cs="Arial"/>
              </w:rPr>
              <w:t>Serious Incident Framework (2015)</w:t>
            </w:r>
            <w:r w:rsidR="0089699F">
              <w:rPr>
                <w:rFonts w:cs="Arial"/>
              </w:rPr>
              <w:t xml:space="preserve"> criteria</w:t>
            </w:r>
            <w:r w:rsidR="003911FE" w:rsidRPr="005631C8">
              <w:rPr>
                <w:rFonts w:cs="Arial"/>
              </w:rPr>
              <w:t xml:space="preserve">. As these incidents are already subject to a quarterly specialist review, they will </w:t>
            </w:r>
            <w:r w:rsidR="00EC24B8" w:rsidRPr="005631C8">
              <w:rPr>
                <w:rFonts w:cs="Arial"/>
              </w:rPr>
              <w:t xml:space="preserve">not be included as a specific priority. </w:t>
            </w:r>
          </w:p>
          <w:p w14:paraId="12C4FC16" w14:textId="77777777" w:rsidR="0089699F" w:rsidRPr="005631C8" w:rsidRDefault="0089699F" w:rsidP="004B64CE">
            <w:pPr>
              <w:rPr>
                <w:rFonts w:cs="Arial"/>
              </w:rPr>
            </w:pPr>
          </w:p>
          <w:p w14:paraId="2E0591D2" w14:textId="24E4BBA8" w:rsidR="00EC24B8" w:rsidRPr="005631C8" w:rsidRDefault="00EC24B8" w:rsidP="004B64CE">
            <w:pPr>
              <w:rPr>
                <w:rFonts w:cs="Arial"/>
              </w:rPr>
            </w:pPr>
            <w:r w:rsidRPr="005631C8">
              <w:rPr>
                <w:rFonts w:cs="Arial"/>
              </w:rPr>
              <w:lastRenderedPageBreak/>
              <w:t xml:space="preserve">A detailed review was completed of the access/ admission/ appointment/ transfer/ discharge category. </w:t>
            </w:r>
            <w:r w:rsidR="0089699F">
              <w:rPr>
                <w:rFonts w:cs="Arial"/>
              </w:rPr>
              <w:t>Given the breadth of this reporting category t</w:t>
            </w:r>
            <w:r w:rsidRPr="005631C8">
              <w:rPr>
                <w:rFonts w:cs="Arial"/>
              </w:rPr>
              <w:t xml:space="preserve">he sub-categories were reviewed </w:t>
            </w:r>
            <w:r w:rsidR="00FF48BE" w:rsidRPr="005631C8">
              <w:rPr>
                <w:rFonts w:cs="Arial"/>
              </w:rPr>
              <w:t xml:space="preserve">and individually </w:t>
            </w:r>
            <w:r w:rsidR="0089699F">
              <w:rPr>
                <w:rFonts w:cs="Arial"/>
              </w:rPr>
              <w:t xml:space="preserve">these </w:t>
            </w:r>
            <w:r w:rsidR="00FF48BE" w:rsidRPr="005631C8">
              <w:rPr>
                <w:rFonts w:cs="Arial"/>
              </w:rPr>
              <w:t xml:space="preserve">were small numbers of incidents </w:t>
            </w:r>
            <w:r w:rsidRPr="005631C8">
              <w:rPr>
                <w:rFonts w:cs="Arial"/>
              </w:rPr>
              <w:t>with low</w:t>
            </w:r>
            <w:r w:rsidR="00FF48BE" w:rsidRPr="005631C8">
              <w:rPr>
                <w:rFonts w:cs="Arial"/>
              </w:rPr>
              <w:t xml:space="preserve"> / no harm. </w:t>
            </w:r>
            <w:r w:rsidRPr="005631C8">
              <w:rPr>
                <w:rFonts w:cs="Arial"/>
              </w:rPr>
              <w:t xml:space="preserve">The category will therefore </w:t>
            </w:r>
            <w:r w:rsidR="0089699F">
              <w:rPr>
                <w:rFonts w:cs="Arial"/>
              </w:rPr>
              <w:t xml:space="preserve">not </w:t>
            </w:r>
            <w:r w:rsidRPr="005631C8">
              <w:rPr>
                <w:rFonts w:cs="Arial"/>
              </w:rPr>
              <w:t>be included within specific priorities.</w:t>
            </w:r>
          </w:p>
          <w:p w14:paraId="29955294" w14:textId="77777777" w:rsidR="001018D6" w:rsidRPr="005631C8" w:rsidRDefault="001018D6" w:rsidP="004B64CE">
            <w:pPr>
              <w:rPr>
                <w:rFonts w:cs="Arial"/>
              </w:rPr>
            </w:pPr>
          </w:p>
          <w:p w14:paraId="42A0EE67" w14:textId="14A627A8" w:rsidR="00CE0FC7" w:rsidRPr="005631C8" w:rsidRDefault="00CD4B02" w:rsidP="004B64CE">
            <w:pPr>
              <w:rPr>
                <w:rFonts w:cs="Arial"/>
              </w:rPr>
            </w:pPr>
            <w:r w:rsidRPr="005631C8">
              <w:rPr>
                <w:rFonts w:cs="Arial"/>
              </w:rPr>
              <w:t>S</w:t>
            </w:r>
            <w:r w:rsidR="00EC24B8" w:rsidRPr="005631C8">
              <w:rPr>
                <w:rFonts w:cs="Arial"/>
              </w:rPr>
              <w:t>elf-harm was the fourth highest category during the total period</w:t>
            </w:r>
            <w:r w:rsidR="0089699F">
              <w:rPr>
                <w:rFonts w:cs="Arial"/>
              </w:rPr>
              <w:t xml:space="preserve">. Most of these incidents were related to a </w:t>
            </w:r>
            <w:r w:rsidR="00EC24B8" w:rsidRPr="005631C8">
              <w:rPr>
                <w:rFonts w:cs="Arial"/>
              </w:rPr>
              <w:t>Tier Three Inpatient CAMHS provision</w:t>
            </w:r>
            <w:r w:rsidR="0089699F">
              <w:rPr>
                <w:rFonts w:cs="Arial"/>
              </w:rPr>
              <w:t xml:space="preserve"> and incidence reduced when that service was transferred to another care provider in April 2021. </w:t>
            </w:r>
            <w:r w:rsidR="00EC24B8" w:rsidRPr="005631C8">
              <w:rPr>
                <w:rFonts w:cs="Arial"/>
              </w:rPr>
              <w:t xml:space="preserve">However, the Trust continues to support children </w:t>
            </w:r>
            <w:r w:rsidR="00FF48BE" w:rsidRPr="005631C8">
              <w:rPr>
                <w:rFonts w:cs="Arial"/>
              </w:rPr>
              <w:t xml:space="preserve">and young people </w:t>
            </w:r>
            <w:r w:rsidR="00EC24B8" w:rsidRPr="005631C8">
              <w:rPr>
                <w:rFonts w:cs="Arial"/>
              </w:rPr>
              <w:t xml:space="preserve">within our Secure Estate provisions of Adel Beck Secure </w:t>
            </w:r>
            <w:r w:rsidR="00FF48BE" w:rsidRPr="005631C8">
              <w:rPr>
                <w:rFonts w:cs="Arial"/>
              </w:rPr>
              <w:t>Children’s</w:t>
            </w:r>
            <w:r w:rsidR="00EC24B8" w:rsidRPr="005631C8">
              <w:rPr>
                <w:rFonts w:cs="Arial"/>
              </w:rPr>
              <w:t xml:space="preserve"> Home and HMP Wetherby Youth Offending Institute. </w:t>
            </w:r>
            <w:r w:rsidR="0089699F">
              <w:rPr>
                <w:rFonts w:cs="Arial"/>
              </w:rPr>
              <w:t>Whilst m</w:t>
            </w:r>
            <w:r w:rsidR="00EC24B8" w:rsidRPr="005631C8">
              <w:rPr>
                <w:rFonts w:cs="Arial"/>
              </w:rPr>
              <w:t xml:space="preserve">ost self-harm incidents are low harm, there can be a cumulative psychological effect on </w:t>
            </w:r>
            <w:r w:rsidR="0089699F">
              <w:rPr>
                <w:rFonts w:cs="Arial"/>
              </w:rPr>
              <w:t xml:space="preserve">these </w:t>
            </w:r>
            <w:r w:rsidR="00EC24B8" w:rsidRPr="005631C8">
              <w:rPr>
                <w:rFonts w:cs="Arial"/>
              </w:rPr>
              <w:t xml:space="preserve">children that results in moderate or major harm. Therefore, self-harm will be captured as a </w:t>
            </w:r>
            <w:r w:rsidR="0089699F">
              <w:rPr>
                <w:rFonts w:cs="Arial"/>
              </w:rPr>
              <w:t xml:space="preserve">local Trust priority. </w:t>
            </w:r>
          </w:p>
          <w:p w14:paraId="6994DF71" w14:textId="77777777" w:rsidR="001018D6" w:rsidRPr="005631C8" w:rsidRDefault="001018D6" w:rsidP="004B64CE">
            <w:pPr>
              <w:rPr>
                <w:rFonts w:cs="Arial"/>
              </w:rPr>
            </w:pPr>
          </w:p>
          <w:p w14:paraId="0BBC5144" w14:textId="56B7D4D6" w:rsidR="00E5530E" w:rsidRPr="005B287A" w:rsidRDefault="00E5530E" w:rsidP="004B64CE">
            <w:pPr>
              <w:rPr>
                <w:rFonts w:cs="Arial"/>
              </w:rPr>
            </w:pPr>
            <w:r w:rsidRPr="005631C8">
              <w:rPr>
                <w:rFonts w:cs="Arial"/>
              </w:rPr>
              <w:t xml:space="preserve">Although </w:t>
            </w:r>
            <w:r w:rsidR="00FA6D5F" w:rsidRPr="005631C8">
              <w:rPr>
                <w:rFonts w:cs="Arial"/>
              </w:rPr>
              <w:t xml:space="preserve">most </w:t>
            </w:r>
            <w:r w:rsidR="00FA6D5F" w:rsidRPr="005B287A">
              <w:rPr>
                <w:rFonts w:cs="Arial"/>
              </w:rPr>
              <w:t>of</w:t>
            </w:r>
            <w:r w:rsidRPr="005B287A">
              <w:rPr>
                <w:rFonts w:cs="Arial"/>
              </w:rPr>
              <w:t xml:space="preserve"> these </w:t>
            </w:r>
            <w:r w:rsidR="007251BD" w:rsidRPr="005B287A">
              <w:rPr>
                <w:rFonts w:cs="Arial"/>
              </w:rPr>
              <w:t xml:space="preserve">self-harm </w:t>
            </w:r>
            <w:r w:rsidRPr="005B287A">
              <w:rPr>
                <w:rFonts w:cs="Arial"/>
              </w:rPr>
              <w:t xml:space="preserve">incidents </w:t>
            </w:r>
            <w:r w:rsidR="00EB19BD" w:rsidRPr="005B287A">
              <w:rPr>
                <w:rFonts w:cs="Arial"/>
              </w:rPr>
              <w:t>occur within</w:t>
            </w:r>
            <w:r w:rsidRPr="005B287A">
              <w:rPr>
                <w:rFonts w:cs="Arial"/>
              </w:rPr>
              <w:t xml:space="preserve"> </w:t>
            </w:r>
            <w:r w:rsidR="0089699F" w:rsidRPr="005B287A">
              <w:rPr>
                <w:rFonts w:cs="Arial"/>
              </w:rPr>
              <w:t xml:space="preserve">the </w:t>
            </w:r>
            <w:r w:rsidRPr="005B287A">
              <w:rPr>
                <w:rFonts w:cs="Arial"/>
              </w:rPr>
              <w:t xml:space="preserve">Secure Estate, </w:t>
            </w:r>
            <w:r w:rsidR="0089699F" w:rsidRPr="005B287A">
              <w:rPr>
                <w:rFonts w:cs="Arial"/>
              </w:rPr>
              <w:t xml:space="preserve">the Trust </w:t>
            </w:r>
            <w:r w:rsidR="00EB19BD" w:rsidRPr="005B287A">
              <w:rPr>
                <w:rFonts w:cs="Arial"/>
              </w:rPr>
              <w:t xml:space="preserve">also </w:t>
            </w:r>
            <w:r w:rsidRPr="005B287A">
              <w:rPr>
                <w:rFonts w:cs="Arial"/>
              </w:rPr>
              <w:t xml:space="preserve">provide </w:t>
            </w:r>
            <w:r w:rsidR="00EB19BD" w:rsidRPr="005B287A">
              <w:rPr>
                <w:rFonts w:cs="Arial"/>
              </w:rPr>
              <w:t xml:space="preserve">other services </w:t>
            </w:r>
            <w:proofErr w:type="gramStart"/>
            <w:r w:rsidR="00EB19BD" w:rsidRPr="005B287A">
              <w:rPr>
                <w:rFonts w:cs="Arial"/>
              </w:rPr>
              <w:t>i.e.</w:t>
            </w:r>
            <w:proofErr w:type="gramEnd"/>
            <w:r w:rsidR="00EB19BD" w:rsidRPr="005B287A">
              <w:rPr>
                <w:rFonts w:cs="Arial"/>
              </w:rPr>
              <w:t xml:space="preserve"> </w:t>
            </w:r>
            <w:r w:rsidRPr="005B287A">
              <w:rPr>
                <w:rFonts w:cs="Arial"/>
              </w:rPr>
              <w:t>Community CAMHS and Leeds Mental Wellbeing Service</w:t>
            </w:r>
            <w:r w:rsidR="00EB19BD" w:rsidRPr="005B287A">
              <w:rPr>
                <w:rFonts w:cs="Arial"/>
              </w:rPr>
              <w:t>, where self-harm is a heightened risk</w:t>
            </w:r>
            <w:r w:rsidRPr="005B287A">
              <w:rPr>
                <w:rFonts w:cs="Arial"/>
              </w:rPr>
              <w:t xml:space="preserve">. We will </w:t>
            </w:r>
            <w:r w:rsidR="0089699F" w:rsidRPr="005B287A">
              <w:rPr>
                <w:rFonts w:cs="Arial"/>
              </w:rPr>
              <w:t xml:space="preserve">therefore </w:t>
            </w:r>
            <w:r w:rsidRPr="005B287A">
              <w:rPr>
                <w:rFonts w:cs="Arial"/>
              </w:rPr>
              <w:t xml:space="preserve">consider </w:t>
            </w:r>
            <w:r w:rsidR="00CD4B02" w:rsidRPr="005B287A">
              <w:rPr>
                <w:rFonts w:cs="Arial"/>
              </w:rPr>
              <w:t>self-harm</w:t>
            </w:r>
            <w:r w:rsidRPr="005B287A">
              <w:rPr>
                <w:rFonts w:cs="Arial"/>
              </w:rPr>
              <w:t xml:space="preserve"> within these </w:t>
            </w:r>
            <w:r w:rsidR="00EB19BD" w:rsidRPr="005B287A">
              <w:rPr>
                <w:rFonts w:cs="Arial"/>
              </w:rPr>
              <w:t xml:space="preserve">other </w:t>
            </w:r>
            <w:r w:rsidRPr="005B287A">
              <w:rPr>
                <w:rFonts w:cs="Arial"/>
              </w:rPr>
              <w:t xml:space="preserve">services </w:t>
            </w:r>
            <w:r w:rsidR="0089699F" w:rsidRPr="005B287A">
              <w:rPr>
                <w:rFonts w:cs="Arial"/>
              </w:rPr>
              <w:t xml:space="preserve">over the initial term of the plan and consider this within </w:t>
            </w:r>
            <w:r w:rsidR="00EB19BD" w:rsidRPr="005B287A">
              <w:rPr>
                <w:rFonts w:cs="Arial"/>
              </w:rPr>
              <w:t xml:space="preserve">future iterations of the </w:t>
            </w:r>
            <w:r w:rsidRPr="005B287A">
              <w:rPr>
                <w:rFonts w:cs="Arial"/>
              </w:rPr>
              <w:t>PSIRP</w:t>
            </w:r>
            <w:r w:rsidR="00EB19BD" w:rsidRPr="005B287A">
              <w:rPr>
                <w:rFonts w:cs="Arial"/>
              </w:rPr>
              <w:t xml:space="preserve">. </w:t>
            </w:r>
            <w:r w:rsidR="0089699F" w:rsidRPr="005B287A">
              <w:rPr>
                <w:rFonts w:cs="Arial"/>
              </w:rPr>
              <w:t xml:space="preserve">There is no data to indicate this is required within this </w:t>
            </w:r>
            <w:r w:rsidR="00EB19BD" w:rsidRPr="005B287A">
              <w:rPr>
                <w:rFonts w:cs="Arial"/>
              </w:rPr>
              <w:t xml:space="preserve">initial </w:t>
            </w:r>
            <w:r w:rsidR="0089699F" w:rsidRPr="005B287A">
              <w:rPr>
                <w:rFonts w:cs="Arial"/>
              </w:rPr>
              <w:t xml:space="preserve">plan. </w:t>
            </w:r>
          </w:p>
          <w:p w14:paraId="2444B15D" w14:textId="77777777" w:rsidR="00CD4B02" w:rsidRPr="005B287A" w:rsidRDefault="00CD4B02" w:rsidP="004B64CE">
            <w:pPr>
              <w:rPr>
                <w:rFonts w:cs="Arial"/>
              </w:rPr>
            </w:pPr>
          </w:p>
          <w:p w14:paraId="75C748EC" w14:textId="2D316B9D" w:rsidR="00CD4B02" w:rsidRPr="005631C8" w:rsidRDefault="003911FE" w:rsidP="0089699F">
            <w:pPr>
              <w:rPr>
                <w:rFonts w:cs="Arial"/>
              </w:rPr>
            </w:pPr>
            <w:r w:rsidRPr="005B287A">
              <w:rPr>
                <w:rFonts w:cs="Arial"/>
              </w:rPr>
              <w:t xml:space="preserve">To ensure learning </w:t>
            </w:r>
            <w:r w:rsidR="0089699F" w:rsidRPr="005B287A">
              <w:rPr>
                <w:rFonts w:cs="Arial"/>
              </w:rPr>
              <w:t xml:space="preserve">continues to be </w:t>
            </w:r>
            <w:r w:rsidRPr="005B287A">
              <w:rPr>
                <w:rFonts w:cs="Arial"/>
              </w:rPr>
              <w:t xml:space="preserve">captured from </w:t>
            </w:r>
            <w:r w:rsidR="0089699F" w:rsidRPr="005B287A">
              <w:rPr>
                <w:rFonts w:cs="Arial"/>
              </w:rPr>
              <w:t xml:space="preserve">incidents resulting in </w:t>
            </w:r>
            <w:r w:rsidRPr="005B287A">
              <w:rPr>
                <w:rFonts w:cs="Arial"/>
              </w:rPr>
              <w:t>moderate or major harm</w:t>
            </w:r>
            <w:r w:rsidR="0089699F" w:rsidRPr="005B287A">
              <w:rPr>
                <w:rFonts w:cs="Arial"/>
              </w:rPr>
              <w:t xml:space="preserve"> a local </w:t>
            </w:r>
            <w:r w:rsidRPr="005B287A">
              <w:rPr>
                <w:rFonts w:cs="Arial"/>
              </w:rPr>
              <w:t>priority will be captured to review all moderate or major incidents</w:t>
            </w:r>
            <w:r w:rsidRPr="005631C8">
              <w:rPr>
                <w:rFonts w:cs="Arial"/>
              </w:rPr>
              <w:t xml:space="preserve"> for consideration of a Patient Safety Investigation and against the legal Duty or Candour regulation.</w:t>
            </w:r>
          </w:p>
        </w:tc>
      </w:tr>
      <w:tr w:rsidR="00EC24B8" w:rsidRPr="004B64CE" w14:paraId="627D523E" w14:textId="77777777" w:rsidTr="00EC24B8">
        <w:tc>
          <w:tcPr>
            <w:tcW w:w="9351" w:type="dxa"/>
            <w:shd w:val="clear" w:color="auto" w:fill="D9DFEF" w:themeFill="accent1" w:themeFillTint="33"/>
          </w:tcPr>
          <w:p w14:paraId="61D2AD6F" w14:textId="67B8C82B" w:rsidR="00D16F4D" w:rsidRPr="005631C8" w:rsidRDefault="00EC24B8" w:rsidP="004B64CE">
            <w:pPr>
              <w:rPr>
                <w:rFonts w:cs="Arial"/>
              </w:rPr>
            </w:pPr>
            <w:r w:rsidRPr="0089699F">
              <w:rPr>
                <w:rFonts w:cs="Arial"/>
                <w:b/>
                <w:bCs/>
              </w:rPr>
              <w:lastRenderedPageBreak/>
              <w:t>S</w:t>
            </w:r>
            <w:r w:rsidR="00D16F4D" w:rsidRPr="0089699F">
              <w:rPr>
                <w:rFonts w:cs="Arial"/>
                <w:b/>
                <w:bCs/>
              </w:rPr>
              <w:t>erious Incidents</w:t>
            </w:r>
            <w:r w:rsidR="00D16F4D" w:rsidRPr="005631C8">
              <w:rPr>
                <w:rFonts w:cs="Arial"/>
              </w:rPr>
              <w:t>: There were 261 serious incidents reported for the four</w:t>
            </w:r>
            <w:r w:rsidR="0089699F">
              <w:rPr>
                <w:rFonts w:cs="Arial"/>
              </w:rPr>
              <w:t>-</w:t>
            </w:r>
            <w:r w:rsidR="00D16F4D" w:rsidRPr="005631C8">
              <w:rPr>
                <w:rFonts w:cs="Arial"/>
              </w:rPr>
              <w:t xml:space="preserve">year period, </w:t>
            </w:r>
            <w:r w:rsidR="0089699F">
              <w:rPr>
                <w:rFonts w:cs="Arial"/>
              </w:rPr>
              <w:t xml:space="preserve">and when cross referenced with the above data </w:t>
            </w:r>
            <w:r w:rsidR="00D16F4D" w:rsidRPr="005631C8">
              <w:rPr>
                <w:rFonts w:cs="Arial"/>
              </w:rPr>
              <w:t xml:space="preserve">112 </w:t>
            </w:r>
            <w:r w:rsidR="000E2D5D">
              <w:rPr>
                <w:rFonts w:cs="Arial"/>
              </w:rPr>
              <w:t xml:space="preserve">(42.9%) </w:t>
            </w:r>
            <w:r w:rsidR="00D16F4D" w:rsidRPr="005631C8">
              <w:rPr>
                <w:rFonts w:cs="Arial"/>
              </w:rPr>
              <w:t xml:space="preserve">related to pressure ulcers, 54 </w:t>
            </w:r>
            <w:r w:rsidR="000E2D5D">
              <w:rPr>
                <w:rFonts w:cs="Arial"/>
              </w:rPr>
              <w:t xml:space="preserve">(20.6%) </w:t>
            </w:r>
            <w:r w:rsidR="00D16F4D" w:rsidRPr="005631C8">
              <w:rPr>
                <w:rFonts w:cs="Arial"/>
              </w:rPr>
              <w:t xml:space="preserve">to falls, and 20 </w:t>
            </w:r>
            <w:r w:rsidR="000E2D5D">
              <w:rPr>
                <w:rFonts w:cs="Arial"/>
              </w:rPr>
              <w:t xml:space="preserve">(7.6%) </w:t>
            </w:r>
            <w:r w:rsidR="00D16F4D" w:rsidRPr="005631C8">
              <w:rPr>
                <w:rFonts w:cs="Arial"/>
              </w:rPr>
              <w:t>for self</w:t>
            </w:r>
            <w:r w:rsidR="0089699F">
              <w:rPr>
                <w:rFonts w:cs="Arial"/>
              </w:rPr>
              <w:t>-</w:t>
            </w:r>
            <w:r w:rsidR="00D16F4D" w:rsidRPr="005631C8">
              <w:rPr>
                <w:rFonts w:cs="Arial"/>
              </w:rPr>
              <w:t>harm.</w:t>
            </w:r>
          </w:p>
          <w:p w14:paraId="12CD2125" w14:textId="5BF940FB" w:rsidR="00D16F4D" w:rsidRPr="005631C8" w:rsidRDefault="00D16F4D" w:rsidP="004B64CE">
            <w:pPr>
              <w:rPr>
                <w:rFonts w:cs="Arial"/>
              </w:rPr>
            </w:pPr>
          </w:p>
        </w:tc>
      </w:tr>
      <w:tr w:rsidR="00EC24B8" w:rsidRPr="004B64CE" w14:paraId="0B0758DC" w14:textId="77777777" w:rsidTr="00EC24B8">
        <w:tc>
          <w:tcPr>
            <w:tcW w:w="9351" w:type="dxa"/>
            <w:shd w:val="clear" w:color="auto" w:fill="D3E5F6" w:themeFill="accent3" w:themeFillTint="33"/>
          </w:tcPr>
          <w:p w14:paraId="7C274ECF" w14:textId="36E41388" w:rsidR="000406FE" w:rsidRPr="005631C8" w:rsidRDefault="00EC24B8" w:rsidP="00D16F4D">
            <w:pPr>
              <w:rPr>
                <w:rFonts w:cs="Arial"/>
              </w:rPr>
            </w:pPr>
            <w:r w:rsidRPr="000E2D5D">
              <w:rPr>
                <w:rFonts w:cs="Arial"/>
                <w:b/>
                <w:bCs/>
              </w:rPr>
              <w:t>Complaints</w:t>
            </w:r>
            <w:r w:rsidR="00D16F4D" w:rsidRPr="000E2D5D">
              <w:rPr>
                <w:rFonts w:cs="Arial"/>
                <w:b/>
                <w:bCs/>
              </w:rPr>
              <w:t>:</w:t>
            </w:r>
            <w:r w:rsidR="000E2D5D">
              <w:rPr>
                <w:rFonts w:cs="Arial"/>
              </w:rPr>
              <w:t xml:space="preserve"> </w:t>
            </w:r>
            <w:r w:rsidRPr="005631C8">
              <w:rPr>
                <w:rFonts w:cs="Arial"/>
              </w:rPr>
              <w:t>There were 542 complaints during the period</w:t>
            </w:r>
            <w:r w:rsidR="00E5530E" w:rsidRPr="005631C8">
              <w:rPr>
                <w:rFonts w:cs="Arial"/>
              </w:rPr>
              <w:t xml:space="preserve"> that have been reviewed</w:t>
            </w:r>
          </w:p>
        </w:tc>
      </w:tr>
      <w:tr w:rsidR="00EC24B8" w:rsidRPr="004B64CE" w14:paraId="7C982B54" w14:textId="77777777" w:rsidTr="00A77653">
        <w:tc>
          <w:tcPr>
            <w:tcW w:w="9351" w:type="dxa"/>
            <w:shd w:val="clear" w:color="auto" w:fill="D7F2FB"/>
          </w:tcPr>
          <w:p w14:paraId="33E89490" w14:textId="793AE8C2" w:rsidR="00EC24B8" w:rsidRPr="005631C8" w:rsidRDefault="00EC24B8" w:rsidP="004B64CE">
            <w:pPr>
              <w:rPr>
                <w:rFonts w:cs="Arial"/>
              </w:rPr>
            </w:pPr>
            <w:r w:rsidRPr="000E2D5D">
              <w:rPr>
                <w:rFonts w:cs="Arial"/>
                <w:b/>
                <w:bCs/>
              </w:rPr>
              <w:t>Claims:</w:t>
            </w:r>
            <w:r w:rsidRPr="005631C8">
              <w:rPr>
                <w:rFonts w:cs="Arial"/>
              </w:rPr>
              <w:t xml:space="preserve"> On review of the claims profile over the period, 36% (8/22) of claims related to wound care including pressure damage and 9% (2/22) related to self-harm, the remaining 55% varied. </w:t>
            </w:r>
          </w:p>
        </w:tc>
      </w:tr>
      <w:tr w:rsidR="00EC24B8" w:rsidRPr="004B64CE" w14:paraId="283FACB9" w14:textId="77777777" w:rsidTr="00EC24B8">
        <w:tc>
          <w:tcPr>
            <w:tcW w:w="9351" w:type="dxa"/>
            <w:shd w:val="clear" w:color="auto" w:fill="DDECEE" w:themeFill="accent5" w:themeFillTint="33"/>
          </w:tcPr>
          <w:p w14:paraId="2A5C0BDB" w14:textId="0BA1282D" w:rsidR="00EC24B8" w:rsidRPr="005B287A" w:rsidRDefault="00EC24B8" w:rsidP="004B64CE">
            <w:pPr>
              <w:rPr>
                <w:rFonts w:cs="Arial"/>
              </w:rPr>
            </w:pPr>
            <w:r w:rsidRPr="005B287A">
              <w:rPr>
                <w:rFonts w:cs="Arial"/>
                <w:b/>
                <w:bCs/>
              </w:rPr>
              <w:t>Inquests</w:t>
            </w:r>
            <w:r w:rsidRPr="005B287A">
              <w:rPr>
                <w:rFonts w:cs="Arial"/>
              </w:rPr>
              <w:t>: There were 39 inquests registered with the Trust during the period</w:t>
            </w:r>
            <w:r w:rsidR="00DE3543" w:rsidRPr="005B287A">
              <w:rPr>
                <w:rFonts w:cs="Arial"/>
              </w:rPr>
              <w:t xml:space="preserve"> </w:t>
            </w:r>
            <w:r w:rsidR="000E2D5D" w:rsidRPr="005B287A">
              <w:rPr>
                <w:rFonts w:cs="Arial"/>
              </w:rPr>
              <w:t>reviewed</w:t>
            </w:r>
            <w:r w:rsidR="00EB19BD" w:rsidRPr="005B287A">
              <w:rPr>
                <w:rFonts w:cs="Arial"/>
              </w:rPr>
              <w:t xml:space="preserve">. The review of this data </w:t>
            </w:r>
            <w:r w:rsidR="00DE3543" w:rsidRPr="005B287A">
              <w:rPr>
                <w:rFonts w:cs="Arial"/>
              </w:rPr>
              <w:t>ha</w:t>
            </w:r>
            <w:r w:rsidR="00EB19BD" w:rsidRPr="005B287A">
              <w:rPr>
                <w:rFonts w:cs="Arial"/>
              </w:rPr>
              <w:t xml:space="preserve">s supported </w:t>
            </w:r>
            <w:r w:rsidR="000E2D5D" w:rsidRPr="005B287A">
              <w:rPr>
                <w:rFonts w:cs="Arial"/>
              </w:rPr>
              <w:t xml:space="preserve">the local priority around pressure ulcers and </w:t>
            </w:r>
            <w:r w:rsidR="00DE3543" w:rsidRPr="005B287A">
              <w:rPr>
                <w:rFonts w:cs="Arial"/>
              </w:rPr>
              <w:t xml:space="preserve">informed </w:t>
            </w:r>
            <w:r w:rsidR="00EB19BD" w:rsidRPr="005B287A">
              <w:rPr>
                <w:rFonts w:cs="Arial"/>
              </w:rPr>
              <w:t xml:space="preserve">the </w:t>
            </w:r>
            <w:r w:rsidR="00DE3543" w:rsidRPr="005B287A">
              <w:rPr>
                <w:rFonts w:cs="Arial"/>
              </w:rPr>
              <w:t>priorit</w:t>
            </w:r>
            <w:r w:rsidR="000E2D5D" w:rsidRPr="005B287A">
              <w:rPr>
                <w:rFonts w:cs="Arial"/>
              </w:rPr>
              <w:t xml:space="preserve">y </w:t>
            </w:r>
            <w:r w:rsidR="00DE3543" w:rsidRPr="005B287A">
              <w:rPr>
                <w:rFonts w:cs="Arial"/>
              </w:rPr>
              <w:t>for deteriorating patient</w:t>
            </w:r>
            <w:r w:rsidR="000E2D5D" w:rsidRPr="005B287A">
              <w:rPr>
                <w:rFonts w:cs="Arial"/>
              </w:rPr>
              <w:t xml:space="preserve">s. </w:t>
            </w:r>
          </w:p>
        </w:tc>
      </w:tr>
      <w:tr w:rsidR="00EC24B8" w:rsidRPr="004B64CE" w14:paraId="45E3DCF7" w14:textId="77777777" w:rsidTr="00EC24B8">
        <w:tc>
          <w:tcPr>
            <w:tcW w:w="9351" w:type="dxa"/>
            <w:shd w:val="clear" w:color="auto" w:fill="EBE8EC" w:themeFill="accent6" w:themeFillTint="33"/>
          </w:tcPr>
          <w:p w14:paraId="0573C89D" w14:textId="076B9A4A" w:rsidR="00EC24B8" w:rsidRPr="005B287A" w:rsidRDefault="00EC24B8" w:rsidP="00D16F4D">
            <w:pPr>
              <w:rPr>
                <w:rFonts w:cs="Arial"/>
              </w:rPr>
            </w:pPr>
            <w:r w:rsidRPr="005B287A">
              <w:rPr>
                <w:rFonts w:cs="Arial"/>
                <w:b/>
                <w:bCs/>
              </w:rPr>
              <w:t>Learning from Deaths</w:t>
            </w:r>
            <w:r w:rsidR="00D16F4D" w:rsidRPr="005B287A">
              <w:rPr>
                <w:rFonts w:cs="Arial"/>
              </w:rPr>
              <w:t xml:space="preserve">: </w:t>
            </w:r>
            <w:r w:rsidRPr="005B287A">
              <w:rPr>
                <w:rFonts w:cs="Arial"/>
              </w:rPr>
              <w:t xml:space="preserve">From </w:t>
            </w:r>
            <w:r w:rsidR="000E2D5D" w:rsidRPr="005B287A">
              <w:rPr>
                <w:rFonts w:cs="Arial"/>
              </w:rPr>
              <w:t xml:space="preserve">the Trust </w:t>
            </w:r>
            <w:r w:rsidR="00BF16F6" w:rsidRPr="005B287A">
              <w:rPr>
                <w:rFonts w:cs="Arial"/>
              </w:rPr>
              <w:t>learning from death reports</w:t>
            </w:r>
            <w:r w:rsidR="000E2D5D" w:rsidRPr="005B287A">
              <w:rPr>
                <w:rFonts w:cs="Arial"/>
              </w:rPr>
              <w:t xml:space="preserve">, the </w:t>
            </w:r>
            <w:r w:rsidR="00BF16F6" w:rsidRPr="005B287A">
              <w:rPr>
                <w:rFonts w:cs="Arial"/>
              </w:rPr>
              <w:t xml:space="preserve">key themes from mortality review are early identification of the </w:t>
            </w:r>
            <w:proofErr w:type="gramStart"/>
            <w:r w:rsidR="00BF16F6" w:rsidRPr="005B287A">
              <w:rPr>
                <w:rFonts w:cs="Arial"/>
              </w:rPr>
              <w:t>end of life</w:t>
            </w:r>
            <w:proofErr w:type="gramEnd"/>
            <w:r w:rsidR="00BF16F6" w:rsidRPr="005B287A">
              <w:rPr>
                <w:rFonts w:cs="Arial"/>
              </w:rPr>
              <w:t xml:space="preserve"> phase for palliative patients, obtaining end of life anticipatory medication, </w:t>
            </w:r>
            <w:r w:rsidR="006D3FEF" w:rsidRPr="005B287A">
              <w:rPr>
                <w:rFonts w:cs="Arial"/>
              </w:rPr>
              <w:t xml:space="preserve">and ensuring people’s wishes are </w:t>
            </w:r>
            <w:proofErr w:type="spellStart"/>
            <w:r w:rsidR="006D3FEF" w:rsidRPr="005B287A">
              <w:rPr>
                <w:rFonts w:cs="Arial"/>
              </w:rPr>
              <w:t>know</w:t>
            </w:r>
            <w:proofErr w:type="spellEnd"/>
            <w:r w:rsidR="006D3FEF" w:rsidRPr="005B287A">
              <w:rPr>
                <w:rFonts w:cs="Arial"/>
              </w:rPr>
              <w:t xml:space="preserve"> for their end of life through advanced care planning. </w:t>
            </w:r>
          </w:p>
        </w:tc>
      </w:tr>
      <w:tr w:rsidR="00EC24B8" w:rsidRPr="004B64CE" w14:paraId="1BBE4FF2" w14:textId="77777777" w:rsidTr="00EC24B8">
        <w:tc>
          <w:tcPr>
            <w:tcW w:w="9351" w:type="dxa"/>
            <w:shd w:val="clear" w:color="auto" w:fill="F2F2F2" w:themeFill="background1" w:themeFillShade="F2"/>
          </w:tcPr>
          <w:p w14:paraId="68FF0DB9" w14:textId="18419398" w:rsidR="00DE3543" w:rsidRPr="005631C8" w:rsidRDefault="00EC24B8" w:rsidP="000E2D5D">
            <w:pPr>
              <w:rPr>
                <w:rFonts w:cs="Arial"/>
                <w:highlight w:val="yellow"/>
              </w:rPr>
            </w:pPr>
            <w:r w:rsidRPr="000E2D5D">
              <w:rPr>
                <w:rFonts w:cs="Arial"/>
                <w:b/>
                <w:bCs/>
              </w:rPr>
              <w:t>Risk Register</w:t>
            </w:r>
            <w:r w:rsidR="00D16F4D" w:rsidRPr="000E2D5D">
              <w:rPr>
                <w:rFonts w:cs="Arial"/>
                <w:b/>
                <w:bCs/>
              </w:rPr>
              <w:t>:</w:t>
            </w:r>
            <w:r w:rsidR="00D16F4D" w:rsidRPr="005631C8">
              <w:rPr>
                <w:rFonts w:cs="Arial"/>
              </w:rPr>
              <w:t xml:space="preserve"> </w:t>
            </w:r>
            <w:r w:rsidRPr="005631C8">
              <w:rPr>
                <w:rFonts w:cs="Arial"/>
              </w:rPr>
              <w:t xml:space="preserve">A review was completed of the Trust wide clinical </w:t>
            </w:r>
            <w:r w:rsidR="000406FE" w:rsidRPr="005631C8">
              <w:rPr>
                <w:rFonts w:cs="Arial"/>
              </w:rPr>
              <w:t>and operational risks. There were 117 risks that were reviewed to understand our wider risk profile. Our patient safety priorities will be added as risks to the register.</w:t>
            </w:r>
          </w:p>
        </w:tc>
      </w:tr>
      <w:tr w:rsidR="00EC24B8" w:rsidRPr="004B64CE" w14:paraId="775D3417" w14:textId="77777777" w:rsidTr="00EC24B8">
        <w:tc>
          <w:tcPr>
            <w:tcW w:w="9351" w:type="dxa"/>
            <w:shd w:val="clear" w:color="auto" w:fill="D9D9D9" w:themeFill="background1" w:themeFillShade="D9"/>
          </w:tcPr>
          <w:p w14:paraId="349FF3EA" w14:textId="3E167F1E" w:rsidR="00EC24B8" w:rsidRPr="005631C8" w:rsidRDefault="00EC24B8" w:rsidP="00D16F4D">
            <w:pPr>
              <w:rPr>
                <w:rFonts w:cs="Arial"/>
                <w:highlight w:val="yellow"/>
              </w:rPr>
            </w:pPr>
            <w:r w:rsidRPr="000E2D5D">
              <w:rPr>
                <w:rFonts w:cs="Arial"/>
                <w:b/>
                <w:bCs/>
              </w:rPr>
              <w:t>Freedom To Speak Up</w:t>
            </w:r>
            <w:r w:rsidR="00D16F4D" w:rsidRPr="000E2D5D">
              <w:rPr>
                <w:rFonts w:cs="Arial"/>
                <w:b/>
                <w:bCs/>
              </w:rPr>
              <w:t>:</w:t>
            </w:r>
            <w:r w:rsidR="00D16F4D" w:rsidRPr="005631C8">
              <w:rPr>
                <w:rFonts w:cs="Arial"/>
              </w:rPr>
              <w:t xml:space="preserve"> </w:t>
            </w:r>
            <w:r w:rsidR="00EA1686" w:rsidRPr="005631C8">
              <w:rPr>
                <w:rFonts w:cs="Arial"/>
              </w:rPr>
              <w:t xml:space="preserve">The </w:t>
            </w:r>
            <w:r w:rsidRPr="005631C8">
              <w:rPr>
                <w:rFonts w:cs="Arial"/>
              </w:rPr>
              <w:t>Freedom to Speak Up Guardian annual report was reviewed.</w:t>
            </w:r>
            <w:r w:rsidR="000708EF" w:rsidRPr="005631C8">
              <w:rPr>
                <w:rFonts w:cs="Arial"/>
              </w:rPr>
              <w:t xml:space="preserve"> The Freedom to Speak Up Guardian reviewed </w:t>
            </w:r>
            <w:r w:rsidR="004A6776" w:rsidRPr="005631C8">
              <w:rPr>
                <w:rFonts w:cs="Arial"/>
              </w:rPr>
              <w:t>concerns from the previous four years</w:t>
            </w:r>
            <w:r w:rsidR="00DE3543" w:rsidRPr="005631C8">
              <w:rPr>
                <w:rFonts w:cs="Arial"/>
              </w:rPr>
              <w:t>.</w:t>
            </w:r>
            <w:r w:rsidR="004A6776" w:rsidRPr="005631C8">
              <w:rPr>
                <w:rFonts w:cs="Arial"/>
              </w:rPr>
              <w:t xml:space="preserve"> </w:t>
            </w:r>
            <w:r w:rsidR="00DE3543" w:rsidRPr="005631C8">
              <w:rPr>
                <w:rFonts w:cs="Arial"/>
              </w:rPr>
              <w:t>O</w:t>
            </w:r>
            <w:r w:rsidR="004A6776" w:rsidRPr="005631C8">
              <w:rPr>
                <w:rFonts w:cs="Arial"/>
              </w:rPr>
              <w:t>f 374</w:t>
            </w:r>
            <w:r w:rsidR="00DE3543" w:rsidRPr="005631C8">
              <w:rPr>
                <w:rFonts w:cs="Arial"/>
              </w:rPr>
              <w:t xml:space="preserve"> concerns</w:t>
            </w:r>
            <w:r w:rsidR="004A6776" w:rsidRPr="005631C8">
              <w:rPr>
                <w:rFonts w:cs="Arial"/>
              </w:rPr>
              <w:t xml:space="preserve">, 40 were patient safety related. Information held within the </w:t>
            </w:r>
            <w:r w:rsidR="00DE3543" w:rsidRPr="005631C8">
              <w:rPr>
                <w:rFonts w:cs="Arial"/>
              </w:rPr>
              <w:t>overview provided</w:t>
            </w:r>
            <w:r w:rsidR="004A6776" w:rsidRPr="005631C8">
              <w:rPr>
                <w:rFonts w:cs="Arial"/>
              </w:rPr>
              <w:t xml:space="preserve"> was assessed to be </w:t>
            </w:r>
            <w:r w:rsidR="000E2D5D">
              <w:rPr>
                <w:rFonts w:cs="Arial"/>
              </w:rPr>
              <w:t xml:space="preserve">considered </w:t>
            </w:r>
            <w:r w:rsidR="004A6776" w:rsidRPr="005631C8">
              <w:rPr>
                <w:rFonts w:cs="Arial"/>
              </w:rPr>
              <w:t>within the identified priorities.</w:t>
            </w:r>
          </w:p>
        </w:tc>
      </w:tr>
      <w:tr w:rsidR="002D3938" w:rsidRPr="004B64CE" w14:paraId="6BF00F92" w14:textId="77777777" w:rsidTr="002D15F1">
        <w:tc>
          <w:tcPr>
            <w:tcW w:w="9351" w:type="dxa"/>
            <w:shd w:val="clear" w:color="auto" w:fill="D9D9D9" w:themeFill="background1" w:themeFillShade="D9"/>
          </w:tcPr>
          <w:p w14:paraId="59A9F23E" w14:textId="21B3EDD1" w:rsidR="00995849" w:rsidRPr="000E2D5D" w:rsidRDefault="002D3938" w:rsidP="004B64CE">
            <w:pPr>
              <w:rPr>
                <w:rFonts w:cs="Arial"/>
                <w:b/>
                <w:bCs/>
              </w:rPr>
            </w:pPr>
            <w:r w:rsidRPr="000E2D5D">
              <w:rPr>
                <w:rFonts w:cs="Arial"/>
                <w:b/>
                <w:bCs/>
              </w:rPr>
              <w:t>I</w:t>
            </w:r>
            <w:r w:rsidR="00995849" w:rsidRPr="000E2D5D">
              <w:rPr>
                <w:rFonts w:cs="Arial"/>
                <w:b/>
                <w:bCs/>
              </w:rPr>
              <w:t>nfection Prevention and Control</w:t>
            </w:r>
            <w:r w:rsidR="00F9711A" w:rsidRPr="000E2D5D">
              <w:rPr>
                <w:rFonts w:cs="Arial"/>
                <w:b/>
                <w:bCs/>
              </w:rPr>
              <w:t xml:space="preserve"> (IPC)</w:t>
            </w:r>
            <w:r w:rsidR="00995849" w:rsidRPr="000E2D5D">
              <w:rPr>
                <w:rFonts w:cs="Arial"/>
                <w:b/>
                <w:bCs/>
              </w:rPr>
              <w:t xml:space="preserve"> Post Infection Reviews</w:t>
            </w:r>
            <w:r w:rsidR="00D16F4D" w:rsidRPr="000E2D5D">
              <w:rPr>
                <w:rFonts w:cs="Arial"/>
                <w:b/>
                <w:bCs/>
              </w:rPr>
              <w:t>:</w:t>
            </w:r>
          </w:p>
          <w:p w14:paraId="5AE75D3D" w14:textId="77777777" w:rsidR="00D91C25" w:rsidRPr="000E2D5D" w:rsidRDefault="00D91C25" w:rsidP="004B64CE">
            <w:pPr>
              <w:rPr>
                <w:rFonts w:cs="Arial"/>
                <w:u w:val="single"/>
              </w:rPr>
            </w:pPr>
            <w:r w:rsidRPr="000E2D5D">
              <w:rPr>
                <w:rFonts w:cs="Arial"/>
                <w:u w:val="single"/>
              </w:rPr>
              <w:t>MRSA Bacteraemia:</w:t>
            </w:r>
          </w:p>
          <w:p w14:paraId="229D4103" w14:textId="0340F53E" w:rsidR="00D16F4D" w:rsidRPr="005631C8" w:rsidRDefault="00D91C25" w:rsidP="004B64CE">
            <w:pPr>
              <w:rPr>
                <w:rFonts w:cs="Arial"/>
              </w:rPr>
            </w:pPr>
            <w:r w:rsidRPr="005631C8">
              <w:rPr>
                <w:rFonts w:cs="Arial"/>
              </w:rPr>
              <w:t>Three years of Meticillin</w:t>
            </w:r>
            <w:r w:rsidR="001434F9" w:rsidRPr="005631C8">
              <w:rPr>
                <w:rFonts w:cs="Arial"/>
              </w:rPr>
              <w:t>-</w:t>
            </w:r>
            <w:r w:rsidRPr="005631C8">
              <w:rPr>
                <w:rFonts w:cs="Arial"/>
              </w:rPr>
              <w:t xml:space="preserve">Resistant Staphylococcus Aureus (MRSA) bacteraemia data was reviewed. Of the 19 reviews for the 2020-2023 period the identified learning was cross system. Although there were no major specific themes for </w:t>
            </w:r>
            <w:r w:rsidR="000E2D5D">
              <w:rPr>
                <w:rFonts w:cs="Arial"/>
              </w:rPr>
              <w:t>the Trust,</w:t>
            </w:r>
            <w:r w:rsidRPr="005631C8">
              <w:rPr>
                <w:rFonts w:cs="Arial"/>
              </w:rPr>
              <w:t xml:space="preserve"> there was some learning around deteriorating patient. </w:t>
            </w:r>
          </w:p>
          <w:p w14:paraId="78F0C9FE" w14:textId="0EB721ED" w:rsidR="00D91C25" w:rsidRPr="005631C8" w:rsidRDefault="00D91C25" w:rsidP="004B64CE">
            <w:pPr>
              <w:rPr>
                <w:rFonts w:cs="Arial"/>
              </w:rPr>
            </w:pPr>
            <w:r w:rsidRPr="005631C8">
              <w:rPr>
                <w:rFonts w:cs="Arial"/>
              </w:rPr>
              <w:lastRenderedPageBreak/>
              <w:t xml:space="preserve"> </w:t>
            </w:r>
          </w:p>
          <w:p w14:paraId="48821780" w14:textId="55B0857A" w:rsidR="00D91C25" w:rsidRPr="005631C8" w:rsidRDefault="00D91C25" w:rsidP="004B64CE">
            <w:pPr>
              <w:rPr>
                <w:rFonts w:cs="Arial"/>
              </w:rPr>
            </w:pPr>
            <w:r w:rsidRPr="005631C8">
              <w:rPr>
                <w:rFonts w:cs="Arial"/>
              </w:rPr>
              <w:t xml:space="preserve">The Post Infection Reviews (PIR) will now fall under the PSIRP </w:t>
            </w:r>
            <w:r w:rsidR="000E2D5D">
              <w:rPr>
                <w:rFonts w:cs="Arial"/>
              </w:rPr>
              <w:t xml:space="preserve">and are captured within the local priorities below. </w:t>
            </w:r>
          </w:p>
          <w:p w14:paraId="2D690525" w14:textId="77777777" w:rsidR="00D16F4D" w:rsidRPr="005631C8" w:rsidRDefault="00D16F4D" w:rsidP="004B64CE">
            <w:pPr>
              <w:rPr>
                <w:rFonts w:cs="Arial"/>
                <w:b/>
                <w:bCs/>
              </w:rPr>
            </w:pPr>
          </w:p>
          <w:p w14:paraId="41CC57A7" w14:textId="05D3E79C" w:rsidR="00D91C25" w:rsidRPr="000E2D5D" w:rsidRDefault="00D91C25" w:rsidP="004B64CE">
            <w:pPr>
              <w:rPr>
                <w:rFonts w:cs="Arial"/>
                <w:u w:val="single"/>
              </w:rPr>
            </w:pPr>
            <w:r w:rsidRPr="000E2D5D">
              <w:rPr>
                <w:rFonts w:cs="Arial"/>
                <w:u w:val="single"/>
              </w:rPr>
              <w:t>MSSA Bacteraemia:</w:t>
            </w:r>
          </w:p>
          <w:p w14:paraId="574B6673" w14:textId="22370170" w:rsidR="00D91C25" w:rsidRPr="005631C8" w:rsidRDefault="00D91C25" w:rsidP="004B64CE">
            <w:pPr>
              <w:rPr>
                <w:rFonts w:cs="Arial"/>
              </w:rPr>
            </w:pPr>
            <w:r w:rsidRPr="005631C8">
              <w:rPr>
                <w:rFonts w:cs="Arial"/>
              </w:rPr>
              <w:t xml:space="preserve">As an emerging trend </w:t>
            </w:r>
            <w:r w:rsidR="001434F9" w:rsidRPr="005631C8">
              <w:rPr>
                <w:rFonts w:cs="Arial"/>
              </w:rPr>
              <w:t>Meticillin-Sensitive Staphylococcus aureus (</w:t>
            </w:r>
            <w:r w:rsidRPr="005631C8">
              <w:rPr>
                <w:rFonts w:cs="Arial"/>
              </w:rPr>
              <w:t>MSSA</w:t>
            </w:r>
            <w:r w:rsidR="001434F9" w:rsidRPr="005631C8">
              <w:rPr>
                <w:rFonts w:cs="Arial"/>
              </w:rPr>
              <w:t>)</w:t>
            </w:r>
            <w:r w:rsidRPr="005631C8">
              <w:rPr>
                <w:rFonts w:cs="Arial"/>
              </w:rPr>
              <w:t xml:space="preserve"> bacteraemia will be reviewed in LCH in line with discussions </w:t>
            </w:r>
            <w:r w:rsidR="001434F9" w:rsidRPr="005631C8">
              <w:rPr>
                <w:rFonts w:cs="Arial"/>
              </w:rPr>
              <w:t>across Leeds</w:t>
            </w:r>
            <w:r w:rsidRPr="005631C8">
              <w:rPr>
                <w:rFonts w:cs="Arial"/>
              </w:rPr>
              <w:t xml:space="preserve"> during the term of th</w:t>
            </w:r>
            <w:r w:rsidR="000E2D5D">
              <w:rPr>
                <w:rFonts w:cs="Arial"/>
              </w:rPr>
              <w:t xml:space="preserve">is initial </w:t>
            </w:r>
            <w:r w:rsidRPr="005631C8">
              <w:rPr>
                <w:rFonts w:cs="Arial"/>
              </w:rPr>
              <w:t xml:space="preserve">PSIRP. Individual learning will be identified, managed and this intelligence will then inform </w:t>
            </w:r>
            <w:r w:rsidR="000E2D5D">
              <w:rPr>
                <w:rFonts w:cs="Arial"/>
              </w:rPr>
              <w:t xml:space="preserve">the </w:t>
            </w:r>
            <w:r w:rsidRPr="005631C8">
              <w:rPr>
                <w:rFonts w:cs="Arial"/>
              </w:rPr>
              <w:t>2025 PSIRP.</w:t>
            </w:r>
          </w:p>
          <w:p w14:paraId="12FF06F7" w14:textId="77777777" w:rsidR="00D16F4D" w:rsidRPr="005631C8" w:rsidRDefault="00D16F4D" w:rsidP="004B64CE">
            <w:pPr>
              <w:rPr>
                <w:rFonts w:cs="Arial"/>
                <w:b/>
                <w:bCs/>
              </w:rPr>
            </w:pPr>
          </w:p>
          <w:p w14:paraId="02A6403E" w14:textId="30F71C22" w:rsidR="00D91C25" w:rsidRPr="000E2D5D" w:rsidRDefault="00D91C25" w:rsidP="004B64CE">
            <w:pPr>
              <w:rPr>
                <w:rFonts w:cs="Arial"/>
                <w:u w:val="single"/>
              </w:rPr>
            </w:pPr>
            <w:r w:rsidRPr="000E2D5D">
              <w:rPr>
                <w:rFonts w:cs="Arial"/>
                <w:u w:val="single"/>
              </w:rPr>
              <w:t xml:space="preserve">Escherichia coli (E. </w:t>
            </w:r>
            <w:proofErr w:type="gramStart"/>
            <w:r w:rsidRPr="000E2D5D">
              <w:rPr>
                <w:rFonts w:cs="Arial"/>
                <w:u w:val="single"/>
              </w:rPr>
              <w:t>coli)*</w:t>
            </w:r>
            <w:proofErr w:type="gramEnd"/>
            <w:r w:rsidRPr="000E2D5D">
              <w:rPr>
                <w:rFonts w:cs="Arial"/>
                <w:u w:val="single"/>
              </w:rPr>
              <w:t xml:space="preserve"> </w:t>
            </w:r>
          </w:p>
          <w:p w14:paraId="42A0073A" w14:textId="77777777" w:rsidR="000E2D5D" w:rsidRDefault="00D91C25" w:rsidP="004B64CE">
            <w:pPr>
              <w:rPr>
                <w:rFonts w:cs="Arial"/>
              </w:rPr>
            </w:pPr>
            <w:r w:rsidRPr="005631C8">
              <w:rPr>
                <w:rFonts w:cs="Arial"/>
              </w:rPr>
              <w:t xml:space="preserve">All </w:t>
            </w:r>
            <w:proofErr w:type="gramStart"/>
            <w:r w:rsidRPr="005631C8">
              <w:rPr>
                <w:rFonts w:cs="Arial"/>
              </w:rPr>
              <w:t>E.coli</w:t>
            </w:r>
            <w:proofErr w:type="gramEnd"/>
            <w:r w:rsidRPr="005631C8">
              <w:rPr>
                <w:rFonts w:cs="Arial"/>
              </w:rPr>
              <w:t xml:space="preserve"> bacteraemia infections are currently reviewed and </w:t>
            </w:r>
            <w:r w:rsidR="000E2D5D">
              <w:rPr>
                <w:rFonts w:cs="Arial"/>
              </w:rPr>
              <w:t xml:space="preserve">a PIR is completed if they occur in an </w:t>
            </w:r>
            <w:r w:rsidRPr="005631C8">
              <w:rPr>
                <w:rFonts w:cs="Arial"/>
              </w:rPr>
              <w:t xml:space="preserve">LCH inpatient, where the bacteraemia is cited in Part One of a death certificate or </w:t>
            </w:r>
            <w:r w:rsidR="000E2D5D">
              <w:rPr>
                <w:rFonts w:cs="Arial"/>
              </w:rPr>
              <w:t xml:space="preserve">where the </w:t>
            </w:r>
            <w:r w:rsidRPr="005631C8">
              <w:rPr>
                <w:rFonts w:cs="Arial"/>
              </w:rPr>
              <w:t>I</w:t>
            </w:r>
            <w:r w:rsidR="000E2D5D">
              <w:rPr>
                <w:rFonts w:cs="Arial"/>
              </w:rPr>
              <w:t xml:space="preserve">nfection </w:t>
            </w:r>
            <w:r w:rsidRPr="005631C8">
              <w:rPr>
                <w:rFonts w:cs="Arial"/>
              </w:rPr>
              <w:t>P</w:t>
            </w:r>
            <w:r w:rsidR="000E2D5D">
              <w:rPr>
                <w:rFonts w:cs="Arial"/>
              </w:rPr>
              <w:t xml:space="preserve">revention </w:t>
            </w:r>
            <w:r w:rsidRPr="005631C8">
              <w:rPr>
                <w:rFonts w:cs="Arial"/>
              </w:rPr>
              <w:t>C</w:t>
            </w:r>
            <w:r w:rsidR="000E2D5D">
              <w:rPr>
                <w:rFonts w:cs="Arial"/>
              </w:rPr>
              <w:t>ontrol (IPC) team</w:t>
            </w:r>
            <w:r w:rsidRPr="005631C8">
              <w:rPr>
                <w:rFonts w:cs="Arial"/>
              </w:rPr>
              <w:t xml:space="preserve"> identify a </w:t>
            </w:r>
            <w:r w:rsidR="000E2D5D">
              <w:rPr>
                <w:rFonts w:cs="Arial"/>
              </w:rPr>
              <w:t xml:space="preserve">specific </w:t>
            </w:r>
            <w:r w:rsidRPr="005631C8">
              <w:rPr>
                <w:rFonts w:cs="Arial"/>
              </w:rPr>
              <w:t>trend in</w:t>
            </w:r>
            <w:r w:rsidR="000E2D5D">
              <w:rPr>
                <w:rFonts w:cs="Arial"/>
              </w:rPr>
              <w:t xml:space="preserve"> review findings. </w:t>
            </w:r>
            <w:r w:rsidRPr="005631C8">
              <w:rPr>
                <w:rFonts w:cs="Arial"/>
              </w:rPr>
              <w:t xml:space="preserve">This approach will </w:t>
            </w:r>
            <w:proofErr w:type="gramStart"/>
            <w:r w:rsidRPr="005631C8">
              <w:rPr>
                <w:rFonts w:cs="Arial"/>
              </w:rPr>
              <w:t>continue</w:t>
            </w:r>
            <w:proofErr w:type="gramEnd"/>
            <w:r w:rsidR="000E2D5D">
              <w:rPr>
                <w:rFonts w:cs="Arial"/>
              </w:rPr>
              <w:t xml:space="preserve"> and the approach is captured within the local priorities below. </w:t>
            </w:r>
          </w:p>
          <w:p w14:paraId="4FD6F9C4" w14:textId="77777777" w:rsidR="000E2D5D" w:rsidRDefault="000E2D5D" w:rsidP="004B64CE">
            <w:pPr>
              <w:rPr>
                <w:rFonts w:cs="Arial"/>
                <w:b/>
                <w:bCs/>
              </w:rPr>
            </w:pPr>
          </w:p>
          <w:p w14:paraId="48862C2A" w14:textId="1042056E" w:rsidR="00D91C25" w:rsidRPr="000E2D5D" w:rsidRDefault="00D91C25" w:rsidP="004B64CE">
            <w:pPr>
              <w:rPr>
                <w:rFonts w:cs="Arial"/>
                <w:u w:val="single"/>
              </w:rPr>
            </w:pPr>
            <w:r w:rsidRPr="000E2D5D">
              <w:rPr>
                <w:rFonts w:cs="Arial"/>
                <w:u w:val="single"/>
              </w:rPr>
              <w:t>Clostridium Difficile</w:t>
            </w:r>
          </w:p>
          <w:p w14:paraId="5E592225" w14:textId="481DDA5F" w:rsidR="00D91C25" w:rsidRPr="005631C8" w:rsidRDefault="00D91C25" w:rsidP="004B64CE">
            <w:pPr>
              <w:rPr>
                <w:rFonts w:cs="Arial"/>
              </w:rPr>
            </w:pPr>
            <w:r w:rsidRPr="005631C8">
              <w:rPr>
                <w:rFonts w:cs="Arial"/>
              </w:rPr>
              <w:t xml:space="preserve">Reviews for Clostridium Difficile (C. </w:t>
            </w:r>
            <w:proofErr w:type="gramStart"/>
            <w:r w:rsidRPr="005631C8">
              <w:rPr>
                <w:rFonts w:cs="Arial"/>
              </w:rPr>
              <w:t>Diff)*</w:t>
            </w:r>
            <w:proofErr w:type="gramEnd"/>
            <w:r w:rsidRPr="005631C8">
              <w:rPr>
                <w:rFonts w:cs="Arial"/>
              </w:rPr>
              <w:t xml:space="preserve"> over the </w:t>
            </w:r>
            <w:r w:rsidR="001434F9" w:rsidRPr="005631C8">
              <w:rPr>
                <w:rFonts w:cs="Arial"/>
              </w:rPr>
              <w:t>three</w:t>
            </w:r>
            <w:r w:rsidRPr="005631C8">
              <w:rPr>
                <w:rFonts w:cs="Arial"/>
              </w:rPr>
              <w:t xml:space="preserve"> year time period has found both an increasing trend</w:t>
            </w:r>
            <w:r w:rsidR="000E2D5D">
              <w:rPr>
                <w:rFonts w:cs="Arial"/>
              </w:rPr>
              <w:t xml:space="preserve"> (</w:t>
            </w:r>
            <w:r w:rsidRPr="005631C8">
              <w:rPr>
                <w:rFonts w:cs="Arial"/>
              </w:rPr>
              <w:t>consistent with national trends</w:t>
            </w:r>
            <w:r w:rsidR="000E2D5D">
              <w:rPr>
                <w:rFonts w:cs="Arial"/>
              </w:rPr>
              <w:t>)</w:t>
            </w:r>
            <w:r w:rsidRPr="005631C8">
              <w:rPr>
                <w:rFonts w:cs="Arial"/>
              </w:rPr>
              <w:t xml:space="preserve"> and similar learning to the national learning and therefore they will not inform a PSIRP priority at this stage. Reviews will continue within the IPC team as part of the Trust’s contractual requirements.</w:t>
            </w:r>
          </w:p>
          <w:p w14:paraId="379CDF50" w14:textId="77777777" w:rsidR="00D16F4D" w:rsidRPr="005631C8" w:rsidRDefault="00D16F4D" w:rsidP="004B64CE">
            <w:pPr>
              <w:rPr>
                <w:rFonts w:cs="Arial"/>
              </w:rPr>
            </w:pPr>
          </w:p>
          <w:p w14:paraId="2F5506BB" w14:textId="34B8FBB3" w:rsidR="00C2460C" w:rsidRPr="005631C8" w:rsidRDefault="00D91C25" w:rsidP="004B64CE">
            <w:pPr>
              <w:rPr>
                <w:rFonts w:cs="Arial"/>
              </w:rPr>
            </w:pPr>
            <w:r w:rsidRPr="005631C8">
              <w:rPr>
                <w:rFonts w:cs="Arial"/>
              </w:rPr>
              <w:t xml:space="preserve">*Due to changing processes during the </w:t>
            </w:r>
            <w:proofErr w:type="gramStart"/>
            <w:r w:rsidRPr="005631C8">
              <w:rPr>
                <w:rFonts w:cs="Arial"/>
              </w:rPr>
              <w:t>time period</w:t>
            </w:r>
            <w:proofErr w:type="gramEnd"/>
            <w:r w:rsidRPr="005631C8">
              <w:rPr>
                <w:rFonts w:cs="Arial"/>
              </w:rPr>
              <w:t xml:space="preserve"> reviewed, the dataset cannot be reliably quantified and therefore qualitative data has been used to inform this version of the PSIRP.</w:t>
            </w:r>
          </w:p>
        </w:tc>
      </w:tr>
    </w:tbl>
    <w:p w14:paraId="6728C161" w14:textId="1F53F26C" w:rsidR="00EC24B8" w:rsidRDefault="00EC24B8" w:rsidP="004B64CE">
      <w:pPr>
        <w:spacing w:after="0"/>
        <w:rPr>
          <w:rFonts w:cs="Arial"/>
          <w:sz w:val="24"/>
          <w:szCs w:val="24"/>
        </w:rPr>
      </w:pPr>
    </w:p>
    <w:p w14:paraId="7287EB94" w14:textId="77777777" w:rsidR="003C4E6E" w:rsidRPr="004B64CE" w:rsidRDefault="003C4E6E" w:rsidP="004B64CE">
      <w:pPr>
        <w:spacing w:after="0"/>
        <w:rPr>
          <w:rFonts w:cs="Arial"/>
          <w:sz w:val="24"/>
          <w:szCs w:val="24"/>
        </w:rPr>
      </w:pPr>
    </w:p>
    <w:p w14:paraId="3EAF9AA6" w14:textId="77777777" w:rsidR="004C2769" w:rsidRPr="004B64CE" w:rsidRDefault="004C2769" w:rsidP="004B64CE">
      <w:pPr>
        <w:spacing w:after="0"/>
        <w:ind w:left="-284" w:right="7"/>
        <w:rPr>
          <w:rFonts w:cs="Arial"/>
          <w:b/>
          <w:bCs/>
          <w:sz w:val="24"/>
          <w:szCs w:val="24"/>
        </w:rPr>
      </w:pPr>
      <w:r w:rsidRPr="004B64CE">
        <w:rPr>
          <w:rFonts w:cs="Arial"/>
          <w:b/>
          <w:bCs/>
          <w:sz w:val="24"/>
          <w:szCs w:val="24"/>
        </w:rPr>
        <w:t>Health Equity</w:t>
      </w:r>
    </w:p>
    <w:p w14:paraId="557607C8" w14:textId="50E26169" w:rsidR="004C2769" w:rsidRDefault="00123B95" w:rsidP="004B64CE">
      <w:pPr>
        <w:spacing w:after="0"/>
        <w:ind w:left="-284" w:right="7"/>
        <w:rPr>
          <w:rFonts w:cs="Arial"/>
          <w:sz w:val="24"/>
          <w:szCs w:val="24"/>
        </w:rPr>
      </w:pPr>
      <w:bookmarkStart w:id="3" w:name="_Hlk148462015"/>
      <w:r w:rsidRPr="00123B95">
        <w:rPr>
          <w:rFonts w:cs="Arial"/>
          <w:sz w:val="24"/>
          <w:szCs w:val="24"/>
        </w:rPr>
        <w:t xml:space="preserve">Health equity is a priority for the </w:t>
      </w:r>
      <w:proofErr w:type="gramStart"/>
      <w:r w:rsidRPr="00123B95">
        <w:rPr>
          <w:rFonts w:cs="Arial"/>
          <w:sz w:val="24"/>
          <w:szCs w:val="24"/>
        </w:rPr>
        <w:t>Trust</w:t>
      </w:r>
      <w:proofErr w:type="gramEnd"/>
      <w:r w:rsidRPr="00123B95">
        <w:rPr>
          <w:rFonts w:cs="Arial"/>
          <w:sz w:val="24"/>
          <w:szCs w:val="24"/>
        </w:rPr>
        <w:t xml:space="preserve"> and we currently consider patient safety incidents against the equity domains for those incidents. At present we have reporting that includes falls, pressure ulcer, medication and access incidents and </w:t>
      </w:r>
      <w:r w:rsidR="00561DC9">
        <w:rPr>
          <w:rFonts w:cs="Arial"/>
          <w:sz w:val="24"/>
          <w:szCs w:val="24"/>
        </w:rPr>
        <w:t xml:space="preserve">mortality reviews and </w:t>
      </w:r>
      <w:r w:rsidRPr="00123B95">
        <w:rPr>
          <w:rFonts w:cs="Arial"/>
          <w:sz w:val="24"/>
          <w:szCs w:val="24"/>
        </w:rPr>
        <w:t xml:space="preserve">these are considered in relation to deprivation, ethnicity, age, learning difficulty, </w:t>
      </w:r>
      <w:proofErr w:type="gramStart"/>
      <w:r w:rsidRPr="00123B95">
        <w:rPr>
          <w:rFonts w:cs="Arial"/>
          <w:sz w:val="24"/>
          <w:szCs w:val="24"/>
        </w:rPr>
        <w:t>Autism Spectrum Disorder</w:t>
      </w:r>
      <w:proofErr w:type="gramEnd"/>
      <w:r w:rsidRPr="00123B95">
        <w:rPr>
          <w:rFonts w:cs="Arial"/>
          <w:sz w:val="24"/>
          <w:szCs w:val="24"/>
        </w:rPr>
        <w:t xml:space="preserve"> and communication requirements. </w:t>
      </w:r>
      <w:r>
        <w:rPr>
          <w:rFonts w:cs="Arial"/>
          <w:sz w:val="24"/>
          <w:szCs w:val="24"/>
        </w:rPr>
        <w:t xml:space="preserve">This is being prioritised also for incidents of deteriorating patient / sepsis. </w:t>
      </w:r>
      <w:r w:rsidRPr="00123B95">
        <w:rPr>
          <w:rFonts w:cs="Arial"/>
          <w:sz w:val="24"/>
          <w:szCs w:val="24"/>
        </w:rPr>
        <w:t>Whilst implementing reporting changes in response to PSIRF we will aim to deliver the ability to assess equity across all patient safety incidents</w:t>
      </w:r>
      <w:r w:rsidR="00561DC9">
        <w:rPr>
          <w:rFonts w:cs="Arial"/>
          <w:sz w:val="24"/>
          <w:szCs w:val="24"/>
        </w:rPr>
        <w:t xml:space="preserve"> to allow us to identify groups at risk of poor access, poor experiences or poor outcomes </w:t>
      </w:r>
      <w:r w:rsidR="000C200D">
        <w:rPr>
          <w:rFonts w:cs="Arial"/>
          <w:sz w:val="24"/>
          <w:szCs w:val="24"/>
        </w:rPr>
        <w:t>to</w:t>
      </w:r>
      <w:r w:rsidR="00561DC9">
        <w:rPr>
          <w:rFonts w:cs="Arial"/>
          <w:sz w:val="24"/>
          <w:szCs w:val="24"/>
        </w:rPr>
        <w:t xml:space="preserve"> deliver targeted improvements to reduce health inequalities. </w:t>
      </w:r>
      <w:r w:rsidR="005B28EC" w:rsidRPr="004B64CE">
        <w:rPr>
          <w:rFonts w:cs="Arial"/>
          <w:sz w:val="24"/>
          <w:szCs w:val="24"/>
        </w:rPr>
        <w:t xml:space="preserve"> </w:t>
      </w:r>
    </w:p>
    <w:p w14:paraId="7F991B25" w14:textId="77777777" w:rsidR="00D16F4D" w:rsidRPr="004B64CE" w:rsidRDefault="00D16F4D" w:rsidP="004B64CE">
      <w:pPr>
        <w:spacing w:after="0"/>
        <w:ind w:left="-284" w:right="7"/>
        <w:rPr>
          <w:rFonts w:cs="Arial"/>
          <w:sz w:val="24"/>
          <w:szCs w:val="24"/>
        </w:rPr>
      </w:pPr>
    </w:p>
    <w:p w14:paraId="581B86D6" w14:textId="39AED906" w:rsidR="005B28EC" w:rsidRDefault="004D13AF" w:rsidP="004B64CE">
      <w:pPr>
        <w:spacing w:after="0"/>
        <w:ind w:left="-284" w:right="7"/>
        <w:rPr>
          <w:rFonts w:cs="Arial"/>
          <w:sz w:val="24"/>
          <w:szCs w:val="24"/>
        </w:rPr>
      </w:pPr>
      <w:r>
        <w:rPr>
          <w:rFonts w:cs="Arial"/>
          <w:sz w:val="24"/>
          <w:szCs w:val="24"/>
        </w:rPr>
        <w:t xml:space="preserve">Acknowledging patient safety incidents are experienced unequally </w:t>
      </w:r>
      <w:r w:rsidR="008A7D59">
        <w:rPr>
          <w:rFonts w:cs="Arial"/>
          <w:sz w:val="24"/>
          <w:szCs w:val="24"/>
        </w:rPr>
        <w:t xml:space="preserve">with increasing evidence of disparities in healthcare outcomes </w:t>
      </w:r>
      <w:r>
        <w:rPr>
          <w:rFonts w:cs="Arial"/>
          <w:sz w:val="24"/>
          <w:szCs w:val="24"/>
        </w:rPr>
        <w:t>w</w:t>
      </w:r>
      <w:r w:rsidRPr="004D13AF">
        <w:rPr>
          <w:rFonts w:cs="Arial"/>
          <w:sz w:val="24"/>
          <w:szCs w:val="24"/>
        </w:rPr>
        <w:t xml:space="preserve">e are </w:t>
      </w:r>
      <w:r w:rsidR="00561DC9">
        <w:rPr>
          <w:rFonts w:cs="Arial"/>
          <w:sz w:val="24"/>
          <w:szCs w:val="24"/>
        </w:rPr>
        <w:t xml:space="preserve">also </w:t>
      </w:r>
      <w:r w:rsidRPr="004D13AF">
        <w:rPr>
          <w:rFonts w:cs="Arial"/>
          <w:sz w:val="24"/>
          <w:szCs w:val="24"/>
        </w:rPr>
        <w:t xml:space="preserve">committed to identifying whether and how current patient safety culture and mechanisms contribute to </w:t>
      </w:r>
      <w:r>
        <w:rPr>
          <w:rFonts w:cs="Arial"/>
          <w:sz w:val="24"/>
          <w:szCs w:val="24"/>
        </w:rPr>
        <w:t xml:space="preserve">such </w:t>
      </w:r>
      <w:r w:rsidRPr="004D13AF">
        <w:rPr>
          <w:rFonts w:cs="Arial"/>
          <w:sz w:val="24"/>
          <w:szCs w:val="24"/>
        </w:rPr>
        <w:t>health inequalities</w:t>
      </w:r>
      <w:r>
        <w:rPr>
          <w:rFonts w:cs="Arial"/>
          <w:sz w:val="24"/>
          <w:szCs w:val="24"/>
        </w:rPr>
        <w:t>. E</w:t>
      </w:r>
      <w:r w:rsidR="005B28EC" w:rsidRPr="004B64CE">
        <w:rPr>
          <w:rFonts w:cs="Arial"/>
          <w:sz w:val="24"/>
          <w:szCs w:val="24"/>
        </w:rPr>
        <w:t xml:space="preserve">ach of </w:t>
      </w:r>
      <w:r w:rsidR="00165E9A">
        <w:rPr>
          <w:rFonts w:cs="Arial"/>
          <w:sz w:val="24"/>
          <w:szCs w:val="24"/>
        </w:rPr>
        <w:t>the</w:t>
      </w:r>
      <w:r w:rsidR="005B28EC" w:rsidRPr="004B64CE">
        <w:rPr>
          <w:rFonts w:cs="Arial"/>
          <w:sz w:val="24"/>
          <w:szCs w:val="24"/>
        </w:rPr>
        <w:t xml:space="preserve"> Trust </w:t>
      </w:r>
      <w:r w:rsidR="00165E9A">
        <w:rPr>
          <w:rFonts w:cs="Arial"/>
          <w:sz w:val="24"/>
          <w:szCs w:val="24"/>
        </w:rPr>
        <w:t>wide i</w:t>
      </w:r>
      <w:r w:rsidR="005B28EC" w:rsidRPr="004B64CE">
        <w:rPr>
          <w:rFonts w:cs="Arial"/>
          <w:sz w:val="24"/>
          <w:szCs w:val="24"/>
        </w:rPr>
        <w:t xml:space="preserve">mprovement </w:t>
      </w:r>
      <w:r w:rsidR="00165E9A">
        <w:rPr>
          <w:rFonts w:cs="Arial"/>
          <w:sz w:val="24"/>
          <w:szCs w:val="24"/>
        </w:rPr>
        <w:t>p</w:t>
      </w:r>
      <w:r w:rsidR="005B28EC" w:rsidRPr="004B64CE">
        <w:rPr>
          <w:rFonts w:cs="Arial"/>
          <w:sz w:val="24"/>
          <w:szCs w:val="24"/>
        </w:rPr>
        <w:t xml:space="preserve">lans </w:t>
      </w:r>
      <w:r>
        <w:rPr>
          <w:rFonts w:cs="Arial"/>
          <w:sz w:val="24"/>
          <w:szCs w:val="24"/>
        </w:rPr>
        <w:t xml:space="preserve">referred to in </w:t>
      </w:r>
      <w:r w:rsidR="007251BD" w:rsidRPr="005B287A">
        <w:rPr>
          <w:rFonts w:cs="Arial"/>
          <w:sz w:val="24"/>
          <w:szCs w:val="24"/>
        </w:rPr>
        <w:t>Appendix 3</w:t>
      </w:r>
      <w:r w:rsidR="007251BD">
        <w:rPr>
          <w:rFonts w:cs="Arial"/>
          <w:sz w:val="24"/>
          <w:szCs w:val="24"/>
        </w:rPr>
        <w:t xml:space="preserve"> </w:t>
      </w:r>
      <w:r w:rsidR="005B28EC" w:rsidRPr="004B64CE">
        <w:rPr>
          <w:rFonts w:cs="Arial"/>
          <w:sz w:val="24"/>
          <w:szCs w:val="24"/>
        </w:rPr>
        <w:t xml:space="preserve">will </w:t>
      </w:r>
      <w:r w:rsidR="00165E9A">
        <w:rPr>
          <w:rFonts w:cs="Arial"/>
          <w:sz w:val="24"/>
          <w:szCs w:val="24"/>
        </w:rPr>
        <w:t xml:space="preserve">include </w:t>
      </w:r>
      <w:r w:rsidR="005B28EC" w:rsidRPr="004B64CE">
        <w:rPr>
          <w:rFonts w:cs="Arial"/>
          <w:sz w:val="24"/>
          <w:szCs w:val="24"/>
        </w:rPr>
        <w:t xml:space="preserve">dedicated actions to ensure </w:t>
      </w:r>
      <w:r>
        <w:rPr>
          <w:rFonts w:cs="Arial"/>
          <w:sz w:val="24"/>
          <w:szCs w:val="24"/>
        </w:rPr>
        <w:t xml:space="preserve">we view health inequalities through the lens of patient safety </w:t>
      </w:r>
      <w:r w:rsidR="008A7D59">
        <w:rPr>
          <w:rFonts w:cs="Arial"/>
          <w:sz w:val="24"/>
          <w:szCs w:val="24"/>
        </w:rPr>
        <w:t>to</w:t>
      </w:r>
      <w:r>
        <w:rPr>
          <w:rFonts w:cs="Arial"/>
          <w:sz w:val="24"/>
          <w:szCs w:val="24"/>
        </w:rPr>
        <w:t xml:space="preserve"> generate tangible actions for improvement. </w:t>
      </w:r>
      <w:r w:rsidR="00165E9A">
        <w:rPr>
          <w:rFonts w:cs="Arial"/>
          <w:sz w:val="24"/>
          <w:szCs w:val="24"/>
        </w:rPr>
        <w:t xml:space="preserve"> </w:t>
      </w:r>
    </w:p>
    <w:p w14:paraId="1A07E565" w14:textId="63657E81" w:rsidR="00165E9A" w:rsidRDefault="00165E9A" w:rsidP="004B64CE">
      <w:pPr>
        <w:spacing w:after="0"/>
        <w:ind w:left="-284" w:right="7"/>
        <w:rPr>
          <w:rFonts w:cs="Arial"/>
          <w:sz w:val="24"/>
          <w:szCs w:val="24"/>
        </w:rPr>
      </w:pPr>
    </w:p>
    <w:p w14:paraId="47B310E0" w14:textId="044A6F5C" w:rsidR="003C4E6E" w:rsidRDefault="003C4E6E" w:rsidP="004B64CE">
      <w:pPr>
        <w:spacing w:after="0"/>
        <w:ind w:left="-284" w:right="7"/>
        <w:rPr>
          <w:rFonts w:cs="Arial"/>
          <w:sz w:val="24"/>
          <w:szCs w:val="24"/>
        </w:rPr>
      </w:pPr>
    </w:p>
    <w:p w14:paraId="369ED465" w14:textId="77777777" w:rsidR="003C4E6E" w:rsidRPr="004B64CE" w:rsidRDefault="003C4E6E" w:rsidP="004B64CE">
      <w:pPr>
        <w:spacing w:after="0"/>
        <w:ind w:left="-284" w:right="7"/>
        <w:rPr>
          <w:rFonts w:cs="Arial"/>
          <w:sz w:val="24"/>
          <w:szCs w:val="24"/>
        </w:rPr>
      </w:pPr>
    </w:p>
    <w:bookmarkEnd w:id="3"/>
    <w:p w14:paraId="3FA7C257" w14:textId="71CCB62E" w:rsidR="00380CDD" w:rsidRPr="004B64CE" w:rsidRDefault="00380CDD" w:rsidP="004B64CE">
      <w:pPr>
        <w:spacing w:after="0"/>
        <w:ind w:left="-284" w:right="7"/>
        <w:rPr>
          <w:rFonts w:cs="Arial"/>
          <w:sz w:val="24"/>
          <w:szCs w:val="24"/>
        </w:rPr>
      </w:pPr>
      <w:r w:rsidRPr="004B64CE">
        <w:rPr>
          <w:rFonts w:cs="Arial"/>
          <w:b/>
          <w:bCs/>
          <w:sz w:val="24"/>
          <w:szCs w:val="24"/>
        </w:rPr>
        <w:t>Stakeholder Engagement</w:t>
      </w:r>
    </w:p>
    <w:p w14:paraId="21D769F6" w14:textId="2B140D9D" w:rsidR="00380CDD" w:rsidRDefault="00380CDD" w:rsidP="004B64CE">
      <w:pPr>
        <w:spacing w:after="0"/>
        <w:ind w:left="-284" w:right="7"/>
        <w:rPr>
          <w:rFonts w:cs="Arial"/>
          <w:sz w:val="24"/>
          <w:szCs w:val="24"/>
        </w:rPr>
      </w:pPr>
      <w:r w:rsidRPr="004B64CE">
        <w:rPr>
          <w:rFonts w:cs="Arial"/>
          <w:sz w:val="24"/>
          <w:szCs w:val="24"/>
        </w:rPr>
        <w:lastRenderedPageBreak/>
        <w:t xml:space="preserve">The identification and agreement of our patient safety profile </w:t>
      </w:r>
      <w:r w:rsidR="00165E9A">
        <w:rPr>
          <w:rFonts w:cs="Arial"/>
          <w:sz w:val="24"/>
          <w:szCs w:val="24"/>
        </w:rPr>
        <w:t xml:space="preserve">/ priorities </w:t>
      </w:r>
      <w:r w:rsidRPr="004B64CE">
        <w:rPr>
          <w:rFonts w:cs="Arial"/>
          <w:sz w:val="24"/>
          <w:szCs w:val="24"/>
        </w:rPr>
        <w:t xml:space="preserve">was a collaborative process that involved the people described </w:t>
      </w:r>
      <w:r w:rsidR="001F0CBF">
        <w:rPr>
          <w:rFonts w:cs="Arial"/>
          <w:sz w:val="24"/>
          <w:szCs w:val="24"/>
        </w:rPr>
        <w:t xml:space="preserve">in Appendix </w:t>
      </w:r>
      <w:r w:rsidR="003C4E6E">
        <w:rPr>
          <w:rFonts w:cs="Arial"/>
          <w:sz w:val="24"/>
          <w:szCs w:val="24"/>
        </w:rPr>
        <w:t>2</w:t>
      </w:r>
      <w:r w:rsidR="001F0CBF">
        <w:rPr>
          <w:rFonts w:cs="Arial"/>
          <w:sz w:val="24"/>
          <w:szCs w:val="24"/>
        </w:rPr>
        <w:t xml:space="preserve">. </w:t>
      </w:r>
    </w:p>
    <w:p w14:paraId="0F80D411" w14:textId="77777777" w:rsidR="00D16F4D" w:rsidRPr="004B64CE" w:rsidRDefault="00D16F4D" w:rsidP="004B64CE">
      <w:pPr>
        <w:spacing w:after="0"/>
        <w:ind w:left="-284" w:right="7"/>
        <w:rPr>
          <w:rFonts w:cs="Arial"/>
          <w:sz w:val="24"/>
          <w:szCs w:val="24"/>
        </w:rPr>
      </w:pPr>
    </w:p>
    <w:p w14:paraId="7C7B09A7" w14:textId="77777777" w:rsidR="001F0CBF" w:rsidRDefault="00380CDD" w:rsidP="001F0CBF">
      <w:pPr>
        <w:spacing w:after="0"/>
        <w:ind w:left="-284" w:right="7"/>
        <w:rPr>
          <w:rFonts w:cs="Arial"/>
          <w:sz w:val="24"/>
          <w:szCs w:val="24"/>
        </w:rPr>
      </w:pPr>
      <w:r w:rsidRPr="004B64CE">
        <w:rPr>
          <w:rFonts w:cs="Arial"/>
          <w:sz w:val="24"/>
          <w:szCs w:val="24"/>
        </w:rPr>
        <w:t xml:space="preserve">The proposed priorities were shared with our stakeholders for their feedback. Our patient safety specialists sought feedback from their respective areas in teams and with individuals including clinical and non-clinical staff. Colleagues were asked whether the safety priorities felt appropriate and were specifically asked, </w:t>
      </w:r>
      <w:r w:rsidRPr="00165E9A">
        <w:rPr>
          <w:rFonts w:cs="Arial"/>
          <w:sz w:val="24"/>
          <w:szCs w:val="24"/>
        </w:rPr>
        <w:t>“do you agree with these priorities and what else would you add?”.</w:t>
      </w:r>
      <w:r w:rsidRPr="004B64CE">
        <w:rPr>
          <w:rFonts w:cs="Arial"/>
          <w:sz w:val="24"/>
          <w:szCs w:val="24"/>
        </w:rPr>
        <w:t xml:space="preserve">  </w:t>
      </w:r>
    </w:p>
    <w:p w14:paraId="67C528E0" w14:textId="77777777" w:rsidR="001F0CBF" w:rsidRDefault="001F0CBF" w:rsidP="001F0CBF">
      <w:pPr>
        <w:spacing w:after="0"/>
        <w:ind w:left="-284" w:right="7"/>
        <w:rPr>
          <w:rFonts w:cs="Arial"/>
          <w:sz w:val="24"/>
          <w:szCs w:val="24"/>
        </w:rPr>
      </w:pPr>
    </w:p>
    <w:p w14:paraId="41F41673" w14:textId="77777777" w:rsidR="001F0CBF" w:rsidRDefault="001F0CBF" w:rsidP="001F0CBF">
      <w:pPr>
        <w:spacing w:after="0"/>
        <w:ind w:left="-284" w:right="7"/>
        <w:rPr>
          <w:rFonts w:cs="Arial"/>
          <w:sz w:val="24"/>
          <w:szCs w:val="24"/>
        </w:rPr>
      </w:pPr>
    </w:p>
    <w:p w14:paraId="26147A7B" w14:textId="77777777" w:rsidR="001F0CBF" w:rsidRDefault="00380CDD" w:rsidP="001F0CBF">
      <w:pPr>
        <w:spacing w:after="0"/>
        <w:ind w:left="-284" w:right="7"/>
        <w:rPr>
          <w:rFonts w:cs="Arial"/>
          <w:sz w:val="24"/>
          <w:szCs w:val="24"/>
        </w:rPr>
      </w:pPr>
      <w:r w:rsidRPr="0028514C">
        <w:rPr>
          <w:rFonts w:cs="Arial"/>
          <w:b/>
          <w:color w:val="0070C0"/>
          <w:sz w:val="28"/>
          <w:szCs w:val="28"/>
        </w:rPr>
        <w:t>P</w:t>
      </w:r>
      <w:r w:rsidR="007124D8" w:rsidRPr="0028514C">
        <w:rPr>
          <w:rFonts w:cs="Arial"/>
          <w:b/>
          <w:color w:val="0070C0"/>
          <w:sz w:val="28"/>
          <w:szCs w:val="28"/>
        </w:rPr>
        <w:t xml:space="preserve">atient safety incident response plan: national </w:t>
      </w:r>
      <w:r w:rsidRPr="0028514C">
        <w:rPr>
          <w:rFonts w:cs="Arial"/>
          <w:b/>
          <w:color w:val="0070C0"/>
          <w:sz w:val="28"/>
          <w:szCs w:val="28"/>
        </w:rPr>
        <w:t>r</w:t>
      </w:r>
      <w:r w:rsidR="007124D8" w:rsidRPr="0028514C">
        <w:rPr>
          <w:rFonts w:cs="Arial"/>
          <w:b/>
          <w:color w:val="0070C0"/>
          <w:sz w:val="28"/>
          <w:szCs w:val="28"/>
        </w:rPr>
        <w:t>equirements</w:t>
      </w:r>
    </w:p>
    <w:p w14:paraId="23BE5F14" w14:textId="77777777" w:rsidR="001F0CBF" w:rsidRDefault="001F0CBF" w:rsidP="001F0CBF">
      <w:pPr>
        <w:spacing w:after="0"/>
        <w:ind w:left="-284" w:right="7"/>
        <w:rPr>
          <w:rFonts w:cs="Arial"/>
          <w:sz w:val="24"/>
          <w:szCs w:val="24"/>
        </w:rPr>
      </w:pPr>
    </w:p>
    <w:p w14:paraId="793A74B0" w14:textId="2D9B3EFA" w:rsidR="001F0CBF" w:rsidRDefault="001434F9" w:rsidP="001F0CBF">
      <w:pPr>
        <w:spacing w:after="0"/>
        <w:ind w:left="-284" w:right="7"/>
        <w:rPr>
          <w:rFonts w:cs="Arial"/>
          <w:color w:val="000000" w:themeColor="text1"/>
          <w:sz w:val="24"/>
          <w:szCs w:val="24"/>
        </w:rPr>
      </w:pPr>
      <w:r w:rsidRPr="004B64CE">
        <w:rPr>
          <w:rFonts w:cs="Arial"/>
          <w:color w:val="000000" w:themeColor="text1"/>
          <w:sz w:val="24"/>
          <w:szCs w:val="24"/>
        </w:rPr>
        <w:t xml:space="preserve">The national requirements </w:t>
      </w:r>
      <w:r w:rsidR="001F0CBF">
        <w:rPr>
          <w:rFonts w:cs="Arial"/>
          <w:color w:val="000000" w:themeColor="text1"/>
          <w:sz w:val="24"/>
          <w:szCs w:val="24"/>
        </w:rPr>
        <w:t xml:space="preserve">and </w:t>
      </w:r>
      <w:r w:rsidRPr="004B64CE">
        <w:rPr>
          <w:rFonts w:cs="Arial"/>
          <w:color w:val="000000" w:themeColor="text1"/>
          <w:sz w:val="24"/>
          <w:szCs w:val="24"/>
        </w:rPr>
        <w:t xml:space="preserve">how we </w:t>
      </w:r>
      <w:r w:rsidR="001F0CBF">
        <w:rPr>
          <w:rFonts w:cs="Arial"/>
          <w:color w:val="000000" w:themeColor="text1"/>
          <w:sz w:val="24"/>
          <w:szCs w:val="24"/>
        </w:rPr>
        <w:t xml:space="preserve">will </w:t>
      </w:r>
      <w:r w:rsidRPr="004B64CE">
        <w:rPr>
          <w:rFonts w:cs="Arial"/>
          <w:color w:val="000000" w:themeColor="text1"/>
          <w:sz w:val="24"/>
          <w:szCs w:val="24"/>
        </w:rPr>
        <w:t xml:space="preserve">respond to </w:t>
      </w:r>
      <w:r w:rsidR="001F0CBF">
        <w:rPr>
          <w:rFonts w:cs="Arial"/>
          <w:color w:val="000000" w:themeColor="text1"/>
          <w:sz w:val="24"/>
          <w:szCs w:val="24"/>
        </w:rPr>
        <w:t xml:space="preserve">these </w:t>
      </w:r>
      <w:r w:rsidRPr="004B64CE">
        <w:rPr>
          <w:rFonts w:cs="Arial"/>
          <w:color w:val="000000" w:themeColor="text1"/>
          <w:sz w:val="24"/>
          <w:szCs w:val="24"/>
        </w:rPr>
        <w:t xml:space="preserve">are detailed </w:t>
      </w:r>
      <w:r w:rsidR="001F0CBF">
        <w:rPr>
          <w:rFonts w:cs="Arial"/>
          <w:color w:val="000000" w:themeColor="text1"/>
          <w:sz w:val="24"/>
          <w:szCs w:val="24"/>
        </w:rPr>
        <w:t xml:space="preserve">in Appendix </w:t>
      </w:r>
      <w:r w:rsidR="003C4E6E">
        <w:rPr>
          <w:rFonts w:cs="Arial"/>
          <w:color w:val="000000" w:themeColor="text1"/>
          <w:sz w:val="24"/>
          <w:szCs w:val="24"/>
        </w:rPr>
        <w:t>3</w:t>
      </w:r>
      <w:r w:rsidR="001F0CBF">
        <w:rPr>
          <w:rFonts w:cs="Arial"/>
          <w:color w:val="000000" w:themeColor="text1"/>
          <w:sz w:val="24"/>
          <w:szCs w:val="24"/>
        </w:rPr>
        <w:t xml:space="preserve">. </w:t>
      </w:r>
    </w:p>
    <w:p w14:paraId="73B278A3" w14:textId="77777777" w:rsidR="00796969" w:rsidRDefault="00796969" w:rsidP="001F0CBF">
      <w:pPr>
        <w:spacing w:after="0"/>
        <w:ind w:left="-284" w:right="7"/>
        <w:rPr>
          <w:rFonts w:cs="Arial"/>
          <w:color w:val="000000" w:themeColor="text1"/>
          <w:sz w:val="24"/>
          <w:szCs w:val="24"/>
        </w:rPr>
      </w:pPr>
    </w:p>
    <w:p w14:paraId="30CAA60A" w14:textId="77777777" w:rsidR="001F0CBF" w:rsidRDefault="001F0CBF" w:rsidP="001F0CBF">
      <w:pPr>
        <w:spacing w:after="0"/>
        <w:ind w:left="-284" w:right="7"/>
        <w:rPr>
          <w:rFonts w:cs="Arial"/>
          <w:color w:val="000000" w:themeColor="text1"/>
          <w:sz w:val="24"/>
          <w:szCs w:val="24"/>
        </w:rPr>
      </w:pPr>
    </w:p>
    <w:p w14:paraId="203C4AB6" w14:textId="77777777" w:rsidR="001F0CBF" w:rsidRDefault="00454E14" w:rsidP="001F0CBF">
      <w:pPr>
        <w:spacing w:after="0"/>
        <w:ind w:left="-284" w:right="7"/>
        <w:rPr>
          <w:rFonts w:cs="Arial"/>
          <w:b/>
          <w:bCs/>
          <w:sz w:val="28"/>
          <w:szCs w:val="28"/>
        </w:rPr>
      </w:pPr>
      <w:r w:rsidRPr="001F0CBF">
        <w:rPr>
          <w:rFonts w:cs="Arial"/>
          <w:b/>
          <w:bCs/>
          <w:color w:val="005EB8"/>
          <w:sz w:val="28"/>
          <w:szCs w:val="28"/>
        </w:rPr>
        <w:t>P</w:t>
      </w:r>
      <w:r w:rsidR="001C3F72" w:rsidRPr="001F0CBF">
        <w:rPr>
          <w:rFonts w:cs="Arial"/>
          <w:b/>
          <w:bCs/>
          <w:color w:val="005EB8"/>
          <w:sz w:val="28"/>
          <w:szCs w:val="28"/>
        </w:rPr>
        <w:t>atient safety incident response plan: local focus</w:t>
      </w:r>
    </w:p>
    <w:p w14:paraId="6FE1E487" w14:textId="77777777" w:rsidR="001F0CBF" w:rsidRDefault="001F0CBF" w:rsidP="001F0CBF">
      <w:pPr>
        <w:spacing w:after="0"/>
        <w:ind w:left="-284" w:right="7"/>
        <w:rPr>
          <w:rFonts w:cs="Arial"/>
          <w:b/>
          <w:bCs/>
          <w:sz w:val="28"/>
          <w:szCs w:val="28"/>
        </w:rPr>
      </w:pPr>
    </w:p>
    <w:p w14:paraId="36E47D42" w14:textId="414C7E22" w:rsidR="001F0CBF" w:rsidRDefault="00BE0481" w:rsidP="001F0CBF">
      <w:pPr>
        <w:spacing w:after="0"/>
        <w:ind w:left="-284" w:right="7"/>
        <w:rPr>
          <w:rFonts w:cs="Arial"/>
          <w:b/>
          <w:bCs/>
          <w:sz w:val="28"/>
          <w:szCs w:val="28"/>
        </w:rPr>
      </w:pPr>
      <w:r w:rsidRPr="004B64CE">
        <w:rPr>
          <w:rFonts w:cs="Arial"/>
          <w:sz w:val="24"/>
          <w:szCs w:val="24"/>
        </w:rPr>
        <w:t xml:space="preserve">This </w:t>
      </w:r>
      <w:r w:rsidR="00454E14">
        <w:rPr>
          <w:rFonts w:cs="Arial"/>
          <w:sz w:val="24"/>
          <w:szCs w:val="24"/>
        </w:rPr>
        <w:t>part of the plan</w:t>
      </w:r>
      <w:r w:rsidR="003C4E6E">
        <w:rPr>
          <w:rFonts w:cs="Arial"/>
          <w:sz w:val="24"/>
          <w:szCs w:val="24"/>
        </w:rPr>
        <w:t xml:space="preserve"> </w:t>
      </w:r>
      <w:r w:rsidRPr="004B64CE">
        <w:rPr>
          <w:rFonts w:cs="Arial"/>
          <w:sz w:val="24"/>
          <w:szCs w:val="24"/>
        </w:rPr>
        <w:t xml:space="preserve">outlines our </w:t>
      </w:r>
      <w:r w:rsidR="007F660E" w:rsidRPr="004B64CE">
        <w:rPr>
          <w:rFonts w:cs="Arial"/>
          <w:sz w:val="24"/>
          <w:szCs w:val="24"/>
        </w:rPr>
        <w:t xml:space="preserve">local </w:t>
      </w:r>
      <w:r w:rsidRPr="004B64CE">
        <w:rPr>
          <w:rFonts w:cs="Arial"/>
          <w:sz w:val="24"/>
          <w:szCs w:val="24"/>
        </w:rPr>
        <w:t xml:space="preserve">priorities </w:t>
      </w:r>
      <w:r w:rsidR="007F660E" w:rsidRPr="004B64CE">
        <w:rPr>
          <w:rFonts w:cs="Arial"/>
          <w:sz w:val="24"/>
          <w:szCs w:val="24"/>
        </w:rPr>
        <w:t xml:space="preserve">for the period 1 </w:t>
      </w:r>
      <w:r w:rsidR="005D4605" w:rsidRPr="004B64CE">
        <w:rPr>
          <w:rFonts w:cs="Arial"/>
          <w:sz w:val="24"/>
          <w:szCs w:val="24"/>
        </w:rPr>
        <w:t>January</w:t>
      </w:r>
      <w:r w:rsidR="007F660E" w:rsidRPr="004B64CE">
        <w:rPr>
          <w:rFonts w:cs="Arial"/>
          <w:sz w:val="24"/>
          <w:szCs w:val="24"/>
        </w:rPr>
        <w:t xml:space="preserve"> 2023 to 31 March 2025</w:t>
      </w:r>
      <w:r w:rsidR="001F0CBF">
        <w:rPr>
          <w:rFonts w:cs="Arial"/>
          <w:sz w:val="24"/>
          <w:szCs w:val="24"/>
        </w:rPr>
        <w:t xml:space="preserve">. These priorities are detailed within Appendix </w:t>
      </w:r>
      <w:r w:rsidR="003C4E6E">
        <w:rPr>
          <w:rFonts w:cs="Arial"/>
          <w:sz w:val="24"/>
          <w:szCs w:val="24"/>
        </w:rPr>
        <w:t>1</w:t>
      </w:r>
      <w:r w:rsidR="001F0CBF">
        <w:rPr>
          <w:rFonts w:cs="Arial"/>
          <w:sz w:val="24"/>
          <w:szCs w:val="24"/>
        </w:rPr>
        <w:t xml:space="preserve"> and are </w:t>
      </w:r>
      <w:r w:rsidR="00454E14">
        <w:rPr>
          <w:rFonts w:cs="Arial"/>
          <w:sz w:val="24"/>
          <w:szCs w:val="24"/>
        </w:rPr>
        <w:t xml:space="preserve">based on the review of local data as described above. </w:t>
      </w:r>
    </w:p>
    <w:p w14:paraId="5CADCE4E" w14:textId="77777777" w:rsidR="001F0CBF" w:rsidRDefault="001F0CBF" w:rsidP="001F0CBF">
      <w:pPr>
        <w:spacing w:after="0"/>
        <w:ind w:left="-284" w:right="7"/>
        <w:rPr>
          <w:rFonts w:cs="Arial"/>
          <w:b/>
          <w:bCs/>
          <w:sz w:val="28"/>
          <w:szCs w:val="28"/>
        </w:rPr>
      </w:pPr>
    </w:p>
    <w:p w14:paraId="62155BE7" w14:textId="39EBFDE1" w:rsidR="00425CE0" w:rsidRPr="001F0CBF" w:rsidRDefault="00425CE0" w:rsidP="001F0CBF">
      <w:pPr>
        <w:spacing w:after="0"/>
        <w:ind w:left="-284" w:right="7"/>
        <w:rPr>
          <w:rFonts w:cs="Arial"/>
          <w:b/>
          <w:bCs/>
          <w:sz w:val="28"/>
          <w:szCs w:val="28"/>
        </w:rPr>
      </w:pPr>
      <w:r>
        <w:rPr>
          <w:rFonts w:cs="Arial"/>
          <w:sz w:val="24"/>
          <w:szCs w:val="24"/>
        </w:rPr>
        <w:t xml:space="preserve">In relation to the local safety priorities, the Trust will </w:t>
      </w:r>
      <w:r w:rsidR="001F0CBF">
        <w:rPr>
          <w:rFonts w:cs="Arial"/>
          <w:sz w:val="24"/>
          <w:szCs w:val="24"/>
        </w:rPr>
        <w:t xml:space="preserve">apply one of three principles in the way we will </w:t>
      </w:r>
      <w:r w:rsidRPr="00425CE0">
        <w:rPr>
          <w:rFonts w:cs="Arial"/>
          <w:sz w:val="24"/>
          <w:szCs w:val="24"/>
        </w:rPr>
        <w:t xml:space="preserve">respond to incidents:  </w:t>
      </w:r>
    </w:p>
    <w:p w14:paraId="236DFF16" w14:textId="40787963" w:rsidR="00425CE0" w:rsidRPr="00425CE0" w:rsidRDefault="00425CE0" w:rsidP="00425CE0">
      <w:pPr>
        <w:pStyle w:val="ListParagraph"/>
        <w:numPr>
          <w:ilvl w:val="0"/>
          <w:numId w:val="50"/>
        </w:numPr>
        <w:spacing w:after="0"/>
        <w:ind w:right="7"/>
        <w:rPr>
          <w:rFonts w:cs="Arial"/>
          <w:sz w:val="24"/>
          <w:szCs w:val="24"/>
        </w:rPr>
      </w:pPr>
      <w:r w:rsidRPr="00425CE0">
        <w:rPr>
          <w:rFonts w:cs="Arial"/>
          <w:sz w:val="24"/>
          <w:szCs w:val="24"/>
        </w:rPr>
        <w:t>Where safety issues are well understood and/or improvement plans are well developed</w:t>
      </w:r>
      <w:r>
        <w:rPr>
          <w:rFonts w:cs="Arial"/>
          <w:sz w:val="24"/>
          <w:szCs w:val="24"/>
        </w:rPr>
        <w:t>,</w:t>
      </w:r>
      <w:r w:rsidRPr="00425CE0">
        <w:rPr>
          <w:rFonts w:cs="Arial"/>
          <w:sz w:val="24"/>
          <w:szCs w:val="24"/>
        </w:rPr>
        <w:t xml:space="preserve"> we will ensure the details of the patient safety incident is added to the improvement project and consider no</w:t>
      </w:r>
      <w:r>
        <w:rPr>
          <w:rFonts w:cs="Arial"/>
          <w:sz w:val="24"/>
          <w:szCs w:val="24"/>
        </w:rPr>
        <w:t xml:space="preserve"> further</w:t>
      </w:r>
      <w:r w:rsidRPr="00425CE0">
        <w:rPr>
          <w:rFonts w:cs="Arial"/>
          <w:sz w:val="24"/>
          <w:szCs w:val="24"/>
        </w:rPr>
        <w:t xml:space="preserve"> investigati</w:t>
      </w:r>
      <w:r>
        <w:rPr>
          <w:rFonts w:cs="Arial"/>
          <w:sz w:val="24"/>
          <w:szCs w:val="24"/>
        </w:rPr>
        <w:t>o</w:t>
      </w:r>
      <w:r w:rsidRPr="00425CE0">
        <w:rPr>
          <w:rFonts w:cs="Arial"/>
          <w:sz w:val="24"/>
          <w:szCs w:val="24"/>
        </w:rPr>
        <w:t>n</w:t>
      </w:r>
      <w:r>
        <w:rPr>
          <w:rFonts w:cs="Arial"/>
          <w:sz w:val="24"/>
          <w:szCs w:val="24"/>
        </w:rPr>
        <w:t xml:space="preserve">, with time and people resource focussing on the improvement activity. </w:t>
      </w:r>
      <w:r w:rsidRPr="00425CE0">
        <w:rPr>
          <w:rFonts w:cs="Arial"/>
          <w:sz w:val="24"/>
          <w:szCs w:val="24"/>
        </w:rPr>
        <w:t xml:space="preserve">  </w:t>
      </w:r>
    </w:p>
    <w:p w14:paraId="7D22A153" w14:textId="77777777" w:rsidR="00425CE0" w:rsidRDefault="00425CE0" w:rsidP="00425CE0">
      <w:pPr>
        <w:pStyle w:val="ListParagraph"/>
        <w:numPr>
          <w:ilvl w:val="0"/>
          <w:numId w:val="50"/>
        </w:numPr>
        <w:spacing w:after="0"/>
        <w:ind w:right="7"/>
        <w:rPr>
          <w:rFonts w:cs="Arial"/>
          <w:sz w:val="24"/>
          <w:szCs w:val="24"/>
        </w:rPr>
      </w:pPr>
      <w:r w:rsidRPr="00425CE0">
        <w:rPr>
          <w:rFonts w:cs="Arial"/>
          <w:sz w:val="24"/>
          <w:szCs w:val="24"/>
        </w:rPr>
        <w:t>Where contributory factors are not well understood and/or where local improvement work is still being developed</w:t>
      </w:r>
      <w:r>
        <w:rPr>
          <w:rFonts w:cs="Arial"/>
          <w:sz w:val="24"/>
          <w:szCs w:val="24"/>
        </w:rPr>
        <w:t>,</w:t>
      </w:r>
      <w:r w:rsidRPr="00425CE0">
        <w:rPr>
          <w:rFonts w:cs="Arial"/>
          <w:sz w:val="24"/>
          <w:szCs w:val="24"/>
        </w:rPr>
        <w:t xml:space="preserve"> we will consider </w:t>
      </w:r>
      <w:r>
        <w:rPr>
          <w:rFonts w:cs="Arial"/>
          <w:sz w:val="24"/>
          <w:szCs w:val="24"/>
        </w:rPr>
        <w:t xml:space="preserve">the most appropriate / proportionate </w:t>
      </w:r>
      <w:r w:rsidRPr="00425CE0">
        <w:rPr>
          <w:rFonts w:cs="Arial"/>
          <w:sz w:val="24"/>
          <w:szCs w:val="24"/>
        </w:rPr>
        <w:t xml:space="preserve">learning response to explore the factors leading to the incident </w:t>
      </w:r>
      <w:r>
        <w:rPr>
          <w:rFonts w:cs="Arial"/>
          <w:sz w:val="24"/>
          <w:szCs w:val="24"/>
        </w:rPr>
        <w:t xml:space="preserve">and provide meaningful </w:t>
      </w:r>
      <w:r w:rsidRPr="00425CE0">
        <w:rPr>
          <w:rFonts w:cs="Arial"/>
          <w:sz w:val="24"/>
          <w:szCs w:val="24"/>
        </w:rPr>
        <w:t xml:space="preserve">learning. </w:t>
      </w:r>
    </w:p>
    <w:p w14:paraId="56576A25" w14:textId="5B7BA4C4" w:rsidR="00425CE0" w:rsidRPr="00425CE0" w:rsidRDefault="00425CE0" w:rsidP="00425CE0">
      <w:pPr>
        <w:pStyle w:val="ListParagraph"/>
        <w:numPr>
          <w:ilvl w:val="0"/>
          <w:numId w:val="50"/>
        </w:numPr>
        <w:spacing w:after="0"/>
        <w:ind w:right="7"/>
        <w:rPr>
          <w:rFonts w:cs="Arial"/>
          <w:sz w:val="24"/>
          <w:szCs w:val="24"/>
        </w:rPr>
      </w:pPr>
      <w:r w:rsidRPr="00425CE0">
        <w:rPr>
          <w:rFonts w:cs="Arial"/>
          <w:sz w:val="24"/>
          <w:szCs w:val="24"/>
        </w:rPr>
        <w:t xml:space="preserve">Where it is not clear if there is further learning in relation to an improvement plan OR where the incident highlights an area for future learning </w:t>
      </w:r>
      <w:r>
        <w:rPr>
          <w:rFonts w:cs="Arial"/>
          <w:sz w:val="24"/>
          <w:szCs w:val="24"/>
        </w:rPr>
        <w:t xml:space="preserve">/ </w:t>
      </w:r>
      <w:r w:rsidRPr="00425CE0">
        <w:rPr>
          <w:rFonts w:cs="Arial"/>
          <w:sz w:val="24"/>
          <w:szCs w:val="24"/>
        </w:rPr>
        <w:t>improvement we will consider the most appropriate / proportionate learning response to explore the factors leading to the incident and provide meaningful learning</w:t>
      </w:r>
      <w:r>
        <w:rPr>
          <w:rFonts w:cs="Arial"/>
          <w:sz w:val="24"/>
          <w:szCs w:val="24"/>
        </w:rPr>
        <w:t xml:space="preserve">. </w:t>
      </w:r>
      <w:r w:rsidRPr="00425CE0">
        <w:rPr>
          <w:rFonts w:cs="Arial"/>
          <w:sz w:val="24"/>
          <w:szCs w:val="24"/>
        </w:rPr>
        <w:t xml:space="preserve"> </w:t>
      </w:r>
    </w:p>
    <w:p w14:paraId="728FF7E9" w14:textId="77777777" w:rsidR="00425CE0" w:rsidRPr="00425CE0" w:rsidRDefault="00425CE0" w:rsidP="00425CE0">
      <w:pPr>
        <w:spacing w:after="0"/>
        <w:ind w:right="7"/>
        <w:rPr>
          <w:rFonts w:cs="Arial"/>
          <w:sz w:val="24"/>
          <w:szCs w:val="24"/>
        </w:rPr>
      </w:pPr>
      <w:r w:rsidRPr="00425CE0">
        <w:rPr>
          <w:rFonts w:cs="Arial"/>
          <w:sz w:val="24"/>
          <w:szCs w:val="24"/>
        </w:rPr>
        <w:t xml:space="preserve"> </w:t>
      </w:r>
    </w:p>
    <w:p w14:paraId="5418FC9C" w14:textId="0DA5A34E" w:rsidR="00454E14" w:rsidRDefault="00425CE0" w:rsidP="00425CE0">
      <w:pPr>
        <w:spacing w:after="0"/>
        <w:ind w:right="7"/>
        <w:rPr>
          <w:rFonts w:cs="Arial"/>
          <w:sz w:val="24"/>
          <w:szCs w:val="24"/>
        </w:rPr>
      </w:pPr>
      <w:r w:rsidRPr="00425CE0">
        <w:rPr>
          <w:rFonts w:cs="Arial"/>
          <w:sz w:val="24"/>
          <w:szCs w:val="24"/>
        </w:rPr>
        <w:t xml:space="preserve">For incidents that are not related to </w:t>
      </w:r>
      <w:r>
        <w:rPr>
          <w:rFonts w:cs="Arial"/>
          <w:sz w:val="24"/>
          <w:szCs w:val="24"/>
        </w:rPr>
        <w:t xml:space="preserve">local safety </w:t>
      </w:r>
      <w:r w:rsidRPr="00425CE0">
        <w:rPr>
          <w:rFonts w:cs="Arial"/>
          <w:sz w:val="24"/>
          <w:szCs w:val="24"/>
        </w:rPr>
        <w:t xml:space="preserve">priorities </w:t>
      </w:r>
      <w:r>
        <w:rPr>
          <w:rFonts w:cs="Arial"/>
          <w:sz w:val="24"/>
          <w:szCs w:val="24"/>
        </w:rPr>
        <w:t xml:space="preserve">but warrant further review </w:t>
      </w:r>
      <w:r w:rsidRPr="00425CE0">
        <w:rPr>
          <w:rFonts w:cs="Arial"/>
          <w:sz w:val="24"/>
          <w:szCs w:val="24"/>
        </w:rPr>
        <w:t>we will consider the most appropriate / proportionate learning response to explore the factors leading to the incident and provide meaningful learning</w:t>
      </w:r>
      <w:r>
        <w:rPr>
          <w:rFonts w:cs="Arial"/>
          <w:sz w:val="24"/>
          <w:szCs w:val="24"/>
        </w:rPr>
        <w:t xml:space="preserve">, </w:t>
      </w:r>
      <w:r w:rsidRPr="00425CE0">
        <w:rPr>
          <w:rFonts w:cs="Arial"/>
          <w:sz w:val="24"/>
          <w:szCs w:val="24"/>
        </w:rPr>
        <w:t xml:space="preserve">on a </w:t>
      </w:r>
      <w:r w:rsidR="001F0CBF" w:rsidRPr="00425CE0">
        <w:rPr>
          <w:rFonts w:cs="Arial"/>
          <w:sz w:val="24"/>
          <w:szCs w:val="24"/>
        </w:rPr>
        <w:t>case-by-case</w:t>
      </w:r>
      <w:r w:rsidRPr="00425CE0">
        <w:rPr>
          <w:rFonts w:cs="Arial"/>
          <w:sz w:val="24"/>
          <w:szCs w:val="24"/>
        </w:rPr>
        <w:t xml:space="preserve"> basis</w:t>
      </w:r>
      <w:r>
        <w:rPr>
          <w:rFonts w:cs="Arial"/>
          <w:sz w:val="24"/>
          <w:szCs w:val="24"/>
        </w:rPr>
        <w:t xml:space="preserve">. </w:t>
      </w:r>
      <w:r w:rsidRPr="00425CE0">
        <w:rPr>
          <w:rFonts w:cs="Arial"/>
          <w:sz w:val="24"/>
          <w:szCs w:val="24"/>
        </w:rPr>
        <w:t xml:space="preserve">  </w:t>
      </w:r>
    </w:p>
    <w:p w14:paraId="56D71284" w14:textId="77777777" w:rsidR="00454E14" w:rsidRDefault="00454E14" w:rsidP="00D16F4D">
      <w:pPr>
        <w:spacing w:after="0"/>
        <w:ind w:right="7"/>
        <w:rPr>
          <w:rFonts w:cs="Arial"/>
          <w:sz w:val="24"/>
          <w:szCs w:val="24"/>
        </w:rPr>
      </w:pPr>
    </w:p>
    <w:p w14:paraId="194E2032" w14:textId="6F8334FE" w:rsidR="00BE0481" w:rsidRDefault="00BE0481" w:rsidP="00D16F4D">
      <w:pPr>
        <w:spacing w:after="0"/>
        <w:ind w:right="7"/>
        <w:rPr>
          <w:rFonts w:cs="Arial"/>
          <w:sz w:val="24"/>
          <w:szCs w:val="24"/>
        </w:rPr>
      </w:pPr>
      <w:r w:rsidRPr="004B64CE">
        <w:rPr>
          <w:rFonts w:cs="Arial"/>
          <w:sz w:val="24"/>
          <w:szCs w:val="24"/>
        </w:rPr>
        <w:lastRenderedPageBreak/>
        <w:t xml:space="preserve">For each </w:t>
      </w:r>
      <w:r w:rsidR="00454E14">
        <w:rPr>
          <w:rFonts w:cs="Arial"/>
          <w:sz w:val="24"/>
          <w:szCs w:val="24"/>
        </w:rPr>
        <w:t xml:space="preserve">local </w:t>
      </w:r>
      <w:r w:rsidRPr="004B64CE">
        <w:rPr>
          <w:rFonts w:cs="Arial"/>
          <w:sz w:val="24"/>
          <w:szCs w:val="24"/>
        </w:rPr>
        <w:t xml:space="preserve">safety priority </w:t>
      </w:r>
      <w:r w:rsidR="00425CE0">
        <w:rPr>
          <w:rFonts w:cs="Arial"/>
          <w:sz w:val="24"/>
          <w:szCs w:val="24"/>
        </w:rPr>
        <w:t xml:space="preserve">underpinned by a Trust wide improvement plan, </w:t>
      </w:r>
      <w:r w:rsidRPr="004B64CE">
        <w:rPr>
          <w:rFonts w:cs="Arial"/>
          <w:sz w:val="24"/>
          <w:szCs w:val="24"/>
        </w:rPr>
        <w:t xml:space="preserve">we will assess the quality of the improvement plan ensuring it is systems based </w:t>
      </w:r>
      <w:proofErr w:type="gramStart"/>
      <w:r w:rsidRPr="004B64CE">
        <w:rPr>
          <w:rFonts w:cs="Arial"/>
          <w:sz w:val="24"/>
          <w:szCs w:val="24"/>
        </w:rPr>
        <w:t>e.g.</w:t>
      </w:r>
      <w:proofErr w:type="gramEnd"/>
      <w:r w:rsidRPr="004B64CE">
        <w:rPr>
          <w:rFonts w:cs="Arial"/>
          <w:sz w:val="24"/>
          <w:szCs w:val="24"/>
        </w:rPr>
        <w:t xml:space="preserve"> ensuring that all known contributory factors have been addressed, and using appropriate data to measure progress. The plans will be signed off by the relevant committees and executive lead</w:t>
      </w:r>
      <w:r w:rsidR="00454E14">
        <w:rPr>
          <w:rFonts w:cs="Arial"/>
          <w:sz w:val="24"/>
          <w:szCs w:val="24"/>
        </w:rPr>
        <w:t xml:space="preserve">. </w:t>
      </w:r>
      <w:r w:rsidRPr="004B64CE">
        <w:rPr>
          <w:rFonts w:cs="Arial"/>
          <w:sz w:val="24"/>
          <w:szCs w:val="24"/>
        </w:rPr>
        <w:t xml:space="preserve">  </w:t>
      </w:r>
    </w:p>
    <w:p w14:paraId="61F905BF" w14:textId="77777777" w:rsidR="00D16F4D" w:rsidRPr="004B64CE" w:rsidRDefault="00D16F4D" w:rsidP="00D16F4D">
      <w:pPr>
        <w:spacing w:after="0"/>
        <w:ind w:right="7"/>
        <w:rPr>
          <w:rFonts w:cs="Arial"/>
          <w:sz w:val="24"/>
          <w:szCs w:val="24"/>
        </w:rPr>
      </w:pPr>
    </w:p>
    <w:p w14:paraId="5D7329D8" w14:textId="7893AA71" w:rsidR="00BE0481" w:rsidRPr="004B64CE" w:rsidRDefault="00BE0481" w:rsidP="00454E14">
      <w:pPr>
        <w:rPr>
          <w:rFonts w:cs="Arial"/>
          <w:sz w:val="24"/>
          <w:szCs w:val="24"/>
        </w:rPr>
      </w:pPr>
      <w:r w:rsidRPr="004B64CE">
        <w:rPr>
          <w:rFonts w:cs="Arial"/>
          <w:sz w:val="24"/>
          <w:szCs w:val="24"/>
        </w:rPr>
        <w:t>Ongoing progress against the plans</w:t>
      </w:r>
      <w:r w:rsidR="00454E14">
        <w:rPr>
          <w:rFonts w:cs="Arial"/>
          <w:sz w:val="24"/>
          <w:szCs w:val="24"/>
        </w:rPr>
        <w:t xml:space="preserve"> and tracking of subsequent incident trends </w:t>
      </w:r>
      <w:r w:rsidRPr="004B64CE">
        <w:rPr>
          <w:rFonts w:cs="Arial"/>
          <w:sz w:val="24"/>
          <w:szCs w:val="24"/>
        </w:rPr>
        <w:t xml:space="preserve">will be monitored by the </w:t>
      </w:r>
      <w:r w:rsidR="00454E14">
        <w:rPr>
          <w:rFonts w:cs="Arial"/>
          <w:sz w:val="24"/>
          <w:szCs w:val="24"/>
        </w:rPr>
        <w:t xml:space="preserve">relevant </w:t>
      </w:r>
      <w:r w:rsidRPr="004B64CE">
        <w:rPr>
          <w:rFonts w:cs="Arial"/>
          <w:sz w:val="24"/>
          <w:szCs w:val="24"/>
        </w:rPr>
        <w:t>improvement group</w:t>
      </w:r>
      <w:r w:rsidR="00454E14">
        <w:rPr>
          <w:rFonts w:cs="Arial"/>
          <w:sz w:val="24"/>
          <w:szCs w:val="24"/>
        </w:rPr>
        <w:t xml:space="preserve"> and overseen by the relevant Trust committee. </w:t>
      </w:r>
    </w:p>
    <w:p w14:paraId="07189B25" w14:textId="403A761F" w:rsidR="00D16F4D" w:rsidRPr="008A7D59" w:rsidRDefault="00454E14" w:rsidP="00D16F4D">
      <w:pPr>
        <w:spacing w:after="0"/>
        <w:ind w:right="7"/>
        <w:rPr>
          <w:rFonts w:cs="Arial"/>
          <w:sz w:val="24"/>
          <w:szCs w:val="24"/>
        </w:rPr>
      </w:pPr>
      <w:r>
        <w:rPr>
          <w:rFonts w:cs="Arial"/>
          <w:sz w:val="24"/>
          <w:szCs w:val="24"/>
        </w:rPr>
        <w:t xml:space="preserve">The table </w:t>
      </w:r>
      <w:r w:rsidR="001F0CBF">
        <w:rPr>
          <w:rFonts w:cs="Arial"/>
          <w:sz w:val="24"/>
          <w:szCs w:val="24"/>
        </w:rPr>
        <w:t xml:space="preserve">below </w:t>
      </w:r>
      <w:r>
        <w:rPr>
          <w:rFonts w:cs="Arial"/>
          <w:sz w:val="24"/>
          <w:szCs w:val="24"/>
        </w:rPr>
        <w:t xml:space="preserve">defines </w:t>
      </w:r>
      <w:r w:rsidR="00425CE0">
        <w:rPr>
          <w:rFonts w:cs="Arial"/>
          <w:sz w:val="24"/>
          <w:szCs w:val="24"/>
        </w:rPr>
        <w:t xml:space="preserve">the criteria the Trust will use to decide which incidents require </w:t>
      </w:r>
      <w:r w:rsidR="00425CE0" w:rsidRPr="008A7D59">
        <w:rPr>
          <w:rFonts w:cs="Arial"/>
          <w:sz w:val="24"/>
          <w:szCs w:val="24"/>
        </w:rPr>
        <w:t>a P</w:t>
      </w:r>
      <w:r w:rsidR="00AE5A7A" w:rsidRPr="008A7D59">
        <w:rPr>
          <w:rFonts w:cs="Arial"/>
          <w:sz w:val="24"/>
          <w:szCs w:val="24"/>
        </w:rPr>
        <w:t xml:space="preserve">atient </w:t>
      </w:r>
      <w:r w:rsidR="00425CE0" w:rsidRPr="008A7D59">
        <w:rPr>
          <w:rFonts w:cs="Arial"/>
          <w:sz w:val="24"/>
          <w:szCs w:val="24"/>
        </w:rPr>
        <w:t>S</w:t>
      </w:r>
      <w:r w:rsidR="00AE5A7A" w:rsidRPr="008A7D59">
        <w:rPr>
          <w:rFonts w:cs="Arial"/>
          <w:sz w:val="24"/>
          <w:szCs w:val="24"/>
        </w:rPr>
        <w:t xml:space="preserve">afety </w:t>
      </w:r>
      <w:r w:rsidR="00425CE0" w:rsidRPr="008A7D59">
        <w:rPr>
          <w:rFonts w:cs="Arial"/>
          <w:sz w:val="24"/>
          <w:szCs w:val="24"/>
        </w:rPr>
        <w:t>I</w:t>
      </w:r>
      <w:r w:rsidR="00AE5A7A" w:rsidRPr="008A7D59">
        <w:rPr>
          <w:rFonts w:cs="Arial"/>
          <w:sz w:val="24"/>
          <w:szCs w:val="24"/>
        </w:rPr>
        <w:t xml:space="preserve">ncident </w:t>
      </w:r>
      <w:r w:rsidR="00425CE0" w:rsidRPr="008A7D59">
        <w:rPr>
          <w:rFonts w:cs="Arial"/>
          <w:sz w:val="24"/>
          <w:szCs w:val="24"/>
        </w:rPr>
        <w:t>I</w:t>
      </w:r>
      <w:r w:rsidR="00AE5A7A" w:rsidRPr="008A7D59">
        <w:rPr>
          <w:rFonts w:cs="Arial"/>
          <w:sz w:val="24"/>
          <w:szCs w:val="24"/>
        </w:rPr>
        <w:t>nvestigation (PSII)</w:t>
      </w:r>
      <w:r w:rsidR="00425CE0" w:rsidRPr="008A7D59">
        <w:rPr>
          <w:rFonts w:cs="Arial"/>
          <w:sz w:val="24"/>
          <w:szCs w:val="24"/>
        </w:rPr>
        <w:t xml:space="preserve"> to be undertaken. </w:t>
      </w:r>
    </w:p>
    <w:p w14:paraId="399EA500" w14:textId="77777777" w:rsidR="00425CE0" w:rsidRPr="008A7D59" w:rsidRDefault="00425CE0" w:rsidP="00D16F4D">
      <w:pPr>
        <w:spacing w:after="0"/>
        <w:ind w:right="7"/>
        <w:rPr>
          <w:rFonts w:cs="Arial"/>
          <w:sz w:val="24"/>
          <w:szCs w:val="24"/>
        </w:rPr>
      </w:pPr>
    </w:p>
    <w:p w14:paraId="47820060" w14:textId="4FE670D4" w:rsidR="004B64CE" w:rsidRPr="00425CE0" w:rsidRDefault="004B64CE" w:rsidP="00D16F4D">
      <w:pPr>
        <w:spacing w:after="0"/>
        <w:ind w:right="7"/>
        <w:rPr>
          <w:rFonts w:cs="Arial"/>
        </w:rPr>
      </w:pPr>
      <w:r w:rsidRPr="008A7D59">
        <w:rPr>
          <w:rFonts w:cs="Arial"/>
        </w:rPr>
        <w:t xml:space="preserve">Table </w:t>
      </w:r>
      <w:r w:rsidR="00AE5A7A" w:rsidRPr="008A7D59">
        <w:rPr>
          <w:rFonts w:cs="Arial"/>
        </w:rPr>
        <w:t xml:space="preserve">Three </w:t>
      </w:r>
      <w:r w:rsidRPr="008A7D59">
        <w:rPr>
          <w:rFonts w:cs="Arial"/>
        </w:rPr>
        <w:t xml:space="preserve">– </w:t>
      </w:r>
      <w:r w:rsidR="00AE5A7A" w:rsidRPr="008A7D59">
        <w:rPr>
          <w:rFonts w:cs="Arial"/>
        </w:rPr>
        <w:t>P</w:t>
      </w:r>
      <w:r w:rsidRPr="008A7D59">
        <w:rPr>
          <w:rFonts w:cs="Arial"/>
        </w:rPr>
        <w:t>SII</w:t>
      </w:r>
      <w:r w:rsidRPr="00425CE0">
        <w:rPr>
          <w:rFonts w:cs="Arial"/>
        </w:rPr>
        <w:t xml:space="preserve"> criteria</w:t>
      </w:r>
    </w:p>
    <w:tbl>
      <w:tblPr>
        <w:tblStyle w:val="TableGrid"/>
        <w:tblW w:w="9498" w:type="dxa"/>
        <w:tblInd w:w="-147" w:type="dxa"/>
        <w:tblLook w:val="04A0" w:firstRow="1" w:lastRow="0" w:firstColumn="1" w:lastColumn="0" w:noHBand="0" w:noVBand="1"/>
      </w:tblPr>
      <w:tblGrid>
        <w:gridCol w:w="3119"/>
        <w:gridCol w:w="6379"/>
      </w:tblGrid>
      <w:tr w:rsidR="00256B7E" w:rsidRPr="004B64CE" w14:paraId="4DE9550D" w14:textId="77777777" w:rsidTr="00425CE0">
        <w:trPr>
          <w:trHeight w:val="401"/>
        </w:trPr>
        <w:tc>
          <w:tcPr>
            <w:tcW w:w="3119" w:type="dxa"/>
            <w:shd w:val="clear" w:color="auto" w:fill="5AA2AE" w:themeFill="accent5"/>
          </w:tcPr>
          <w:p w14:paraId="02192177" w14:textId="4FD47CF6" w:rsidR="00256B7E" w:rsidRPr="004B64CE" w:rsidRDefault="00256B7E" w:rsidP="00D16F4D">
            <w:pPr>
              <w:ind w:right="7"/>
              <w:rPr>
                <w:rFonts w:cs="Arial"/>
                <w:b/>
                <w:bCs/>
                <w:sz w:val="24"/>
                <w:szCs w:val="24"/>
              </w:rPr>
            </w:pPr>
            <w:r w:rsidRPr="004B64CE">
              <w:rPr>
                <w:rFonts w:cs="Arial"/>
                <w:b/>
                <w:bCs/>
                <w:sz w:val="24"/>
                <w:szCs w:val="24"/>
              </w:rPr>
              <w:t>Criteria</w:t>
            </w:r>
            <w:r w:rsidR="007F660E" w:rsidRPr="004B64CE">
              <w:rPr>
                <w:rFonts w:cs="Arial"/>
                <w:b/>
                <w:bCs/>
                <w:sz w:val="24"/>
                <w:szCs w:val="24"/>
              </w:rPr>
              <w:t xml:space="preserve"> for PSII response </w:t>
            </w:r>
          </w:p>
        </w:tc>
        <w:tc>
          <w:tcPr>
            <w:tcW w:w="6379" w:type="dxa"/>
            <w:shd w:val="clear" w:color="auto" w:fill="5AA2AE" w:themeFill="accent5"/>
          </w:tcPr>
          <w:p w14:paraId="19257AEB" w14:textId="2D01EC6C" w:rsidR="00256B7E" w:rsidRPr="004B64CE" w:rsidRDefault="00256B7E" w:rsidP="00D16F4D">
            <w:pPr>
              <w:ind w:right="7"/>
              <w:rPr>
                <w:rFonts w:cs="Arial"/>
                <w:b/>
                <w:bCs/>
                <w:sz w:val="24"/>
                <w:szCs w:val="24"/>
              </w:rPr>
            </w:pPr>
            <w:r w:rsidRPr="004B64CE">
              <w:rPr>
                <w:rFonts w:cs="Arial"/>
                <w:b/>
                <w:bCs/>
                <w:sz w:val="24"/>
                <w:szCs w:val="24"/>
              </w:rPr>
              <w:t xml:space="preserve">Considerations </w:t>
            </w:r>
          </w:p>
        </w:tc>
      </w:tr>
      <w:tr w:rsidR="00256B7E" w:rsidRPr="004B64CE" w14:paraId="4DDA21C4" w14:textId="77777777" w:rsidTr="00425CE0">
        <w:tc>
          <w:tcPr>
            <w:tcW w:w="3119" w:type="dxa"/>
          </w:tcPr>
          <w:p w14:paraId="0B70AFBD" w14:textId="36D0EF31" w:rsidR="00256B7E" w:rsidRPr="00425CE0" w:rsidRDefault="00256B7E" w:rsidP="00D16F4D">
            <w:pPr>
              <w:ind w:right="7"/>
              <w:rPr>
                <w:rFonts w:cs="Arial"/>
              </w:rPr>
            </w:pPr>
            <w:r w:rsidRPr="00425CE0">
              <w:rPr>
                <w:rFonts w:cs="Arial"/>
              </w:rPr>
              <w:t>Potential for learning and improvement</w:t>
            </w:r>
          </w:p>
        </w:tc>
        <w:tc>
          <w:tcPr>
            <w:tcW w:w="6379" w:type="dxa"/>
          </w:tcPr>
          <w:p w14:paraId="620B80C9" w14:textId="77777777" w:rsidR="00256B7E" w:rsidRPr="00425CE0" w:rsidRDefault="00256B7E" w:rsidP="00425CE0">
            <w:pPr>
              <w:pStyle w:val="ListParagraph"/>
              <w:numPr>
                <w:ilvl w:val="0"/>
                <w:numId w:val="48"/>
              </w:numPr>
              <w:ind w:right="7"/>
              <w:rPr>
                <w:rFonts w:cs="Arial"/>
              </w:rPr>
            </w:pPr>
            <w:r w:rsidRPr="00425CE0">
              <w:rPr>
                <w:rFonts w:cs="Arial"/>
              </w:rPr>
              <w:t xml:space="preserve">Increased knowledge: potential to generate new information, novel insights, or bridge a gap in current </w:t>
            </w:r>
            <w:proofErr w:type="gramStart"/>
            <w:r w:rsidRPr="00425CE0">
              <w:rPr>
                <w:rFonts w:cs="Arial"/>
              </w:rPr>
              <w:t>understanding</w:t>
            </w:r>
            <w:proofErr w:type="gramEnd"/>
          </w:p>
          <w:p w14:paraId="274D1CEC" w14:textId="78A1808D" w:rsidR="00256B7E" w:rsidRPr="00425CE0" w:rsidRDefault="00256B7E" w:rsidP="00425CE0">
            <w:pPr>
              <w:pStyle w:val="ListParagraph"/>
              <w:numPr>
                <w:ilvl w:val="0"/>
                <w:numId w:val="48"/>
              </w:numPr>
              <w:ind w:right="7"/>
              <w:rPr>
                <w:rFonts w:cs="Arial"/>
              </w:rPr>
            </w:pPr>
            <w:r w:rsidRPr="00425CE0">
              <w:rPr>
                <w:rFonts w:cs="Arial"/>
              </w:rPr>
              <w:t>Likelihood of influencing</w:t>
            </w:r>
            <w:r w:rsidR="00425CE0" w:rsidRPr="00425CE0">
              <w:rPr>
                <w:rFonts w:cs="Arial"/>
              </w:rPr>
              <w:t xml:space="preserve"> </w:t>
            </w:r>
            <w:r w:rsidRPr="00425CE0">
              <w:rPr>
                <w:rFonts w:cs="Arial"/>
              </w:rPr>
              <w:t xml:space="preserve">healthcare systems, professional practice, safety culture. </w:t>
            </w:r>
          </w:p>
          <w:p w14:paraId="3A75C504" w14:textId="288BE59A" w:rsidR="00256B7E" w:rsidRPr="00425CE0" w:rsidRDefault="00256B7E" w:rsidP="00425CE0">
            <w:pPr>
              <w:pStyle w:val="ListParagraph"/>
              <w:numPr>
                <w:ilvl w:val="0"/>
                <w:numId w:val="48"/>
              </w:numPr>
              <w:ind w:right="7"/>
              <w:rPr>
                <w:rFonts w:cs="Arial"/>
              </w:rPr>
            </w:pPr>
            <w:r w:rsidRPr="00425CE0">
              <w:rPr>
                <w:rFonts w:cs="Arial"/>
              </w:rPr>
              <w:t xml:space="preserve">Feasibility: practicality of conducting an appropriately rigorous PSII </w:t>
            </w:r>
          </w:p>
          <w:p w14:paraId="7D129B3B" w14:textId="402C31CB" w:rsidR="00256B7E" w:rsidRPr="00425CE0" w:rsidRDefault="00256B7E" w:rsidP="00425CE0">
            <w:pPr>
              <w:pStyle w:val="ListParagraph"/>
              <w:numPr>
                <w:ilvl w:val="0"/>
                <w:numId w:val="48"/>
              </w:numPr>
              <w:ind w:right="7"/>
              <w:rPr>
                <w:rFonts w:cs="Arial"/>
              </w:rPr>
            </w:pPr>
            <w:r w:rsidRPr="00425CE0">
              <w:rPr>
                <w:rFonts w:cs="Arial"/>
              </w:rPr>
              <w:t>Value: extent of overlap with other improvement work; adequacy of past actions</w:t>
            </w:r>
          </w:p>
        </w:tc>
      </w:tr>
      <w:tr w:rsidR="00256B7E" w:rsidRPr="004B64CE" w14:paraId="096B0F0B" w14:textId="77777777" w:rsidTr="00425CE0">
        <w:trPr>
          <w:trHeight w:val="672"/>
        </w:trPr>
        <w:tc>
          <w:tcPr>
            <w:tcW w:w="3119" w:type="dxa"/>
          </w:tcPr>
          <w:p w14:paraId="77748011" w14:textId="3B10D7B0" w:rsidR="00256B7E" w:rsidRPr="00425CE0" w:rsidRDefault="00256B7E" w:rsidP="00D16F4D">
            <w:pPr>
              <w:ind w:right="7"/>
              <w:rPr>
                <w:rFonts w:cs="Arial"/>
              </w:rPr>
            </w:pPr>
            <w:r w:rsidRPr="00425CE0">
              <w:rPr>
                <w:rFonts w:cs="Arial"/>
              </w:rPr>
              <w:t xml:space="preserve">Systemic risk </w:t>
            </w:r>
          </w:p>
        </w:tc>
        <w:tc>
          <w:tcPr>
            <w:tcW w:w="6379" w:type="dxa"/>
          </w:tcPr>
          <w:p w14:paraId="4B61FE71" w14:textId="4DA9CD8E" w:rsidR="00256B7E" w:rsidRPr="00425CE0" w:rsidRDefault="00256B7E" w:rsidP="00425CE0">
            <w:pPr>
              <w:pStyle w:val="ListParagraph"/>
              <w:numPr>
                <w:ilvl w:val="0"/>
                <w:numId w:val="49"/>
              </w:numPr>
              <w:ind w:right="7"/>
              <w:rPr>
                <w:rFonts w:cs="Arial"/>
              </w:rPr>
            </w:pPr>
            <w:r w:rsidRPr="00425CE0">
              <w:rPr>
                <w:rFonts w:cs="Arial"/>
              </w:rPr>
              <w:t>Complexity of interactions between different parts of the healthcare system</w:t>
            </w:r>
          </w:p>
        </w:tc>
      </w:tr>
    </w:tbl>
    <w:p w14:paraId="2C8ED0FC" w14:textId="43267F03" w:rsidR="00BE0481" w:rsidRPr="004B64CE" w:rsidRDefault="00BE0481" w:rsidP="00D16F4D">
      <w:pPr>
        <w:tabs>
          <w:tab w:val="center" w:pos="567"/>
          <w:tab w:val="right" w:pos="10044"/>
        </w:tabs>
        <w:spacing w:after="0" w:line="259" w:lineRule="auto"/>
        <w:ind w:right="-15"/>
        <w:rPr>
          <w:rFonts w:cs="Arial"/>
          <w:sz w:val="24"/>
          <w:szCs w:val="24"/>
        </w:rPr>
      </w:pPr>
      <w:r w:rsidRPr="004B64CE">
        <w:rPr>
          <w:rFonts w:cs="Arial"/>
          <w:sz w:val="24"/>
          <w:szCs w:val="24"/>
        </w:rPr>
        <w:t xml:space="preserve"> </w:t>
      </w:r>
      <w:r w:rsidRPr="004B64CE">
        <w:rPr>
          <w:rFonts w:cs="Arial"/>
          <w:sz w:val="24"/>
          <w:szCs w:val="24"/>
        </w:rPr>
        <w:tab/>
        <w:t xml:space="preserve"> </w:t>
      </w:r>
    </w:p>
    <w:p w14:paraId="43BD8D7E" w14:textId="582FE0A7" w:rsidR="003044FC" w:rsidRDefault="003044FC" w:rsidP="004B64CE">
      <w:pPr>
        <w:spacing w:after="0"/>
        <w:rPr>
          <w:rFonts w:cs="Arial"/>
          <w:sz w:val="24"/>
          <w:szCs w:val="24"/>
        </w:rPr>
      </w:pPr>
    </w:p>
    <w:p w14:paraId="3FCA5915" w14:textId="50C8627B" w:rsidR="007F4840" w:rsidRDefault="007F4840" w:rsidP="004B64CE">
      <w:pPr>
        <w:spacing w:after="0"/>
        <w:rPr>
          <w:rFonts w:cs="Arial"/>
          <w:sz w:val="24"/>
          <w:szCs w:val="24"/>
        </w:rPr>
      </w:pPr>
    </w:p>
    <w:p w14:paraId="3276D915" w14:textId="1472D0A6" w:rsidR="007F4840" w:rsidRDefault="007F4840" w:rsidP="004B64CE">
      <w:pPr>
        <w:spacing w:after="0"/>
        <w:rPr>
          <w:rFonts w:cs="Arial"/>
          <w:sz w:val="24"/>
          <w:szCs w:val="24"/>
        </w:rPr>
      </w:pPr>
    </w:p>
    <w:p w14:paraId="13BB37DD" w14:textId="105ADEAC" w:rsidR="007F4840" w:rsidRDefault="007F4840" w:rsidP="004B64CE">
      <w:pPr>
        <w:spacing w:after="0"/>
        <w:rPr>
          <w:rFonts w:cs="Arial"/>
          <w:sz w:val="24"/>
          <w:szCs w:val="24"/>
        </w:rPr>
      </w:pPr>
    </w:p>
    <w:p w14:paraId="14E373DF" w14:textId="74E10016" w:rsidR="007F4840" w:rsidRDefault="007F4840" w:rsidP="004B64CE">
      <w:pPr>
        <w:spacing w:after="0"/>
        <w:rPr>
          <w:rFonts w:cs="Arial"/>
          <w:sz w:val="24"/>
          <w:szCs w:val="24"/>
        </w:rPr>
      </w:pPr>
    </w:p>
    <w:p w14:paraId="76CD302B" w14:textId="38BDDC48" w:rsidR="007F4840" w:rsidRDefault="007F4840" w:rsidP="004B64CE">
      <w:pPr>
        <w:spacing w:after="0"/>
        <w:rPr>
          <w:rFonts w:cs="Arial"/>
          <w:sz w:val="24"/>
          <w:szCs w:val="24"/>
        </w:rPr>
      </w:pPr>
    </w:p>
    <w:p w14:paraId="66B876F8" w14:textId="4DB8E681" w:rsidR="007F4840" w:rsidRDefault="007F4840" w:rsidP="004B64CE">
      <w:pPr>
        <w:spacing w:after="0"/>
        <w:rPr>
          <w:rFonts w:cs="Arial"/>
          <w:sz w:val="24"/>
          <w:szCs w:val="24"/>
        </w:rPr>
      </w:pPr>
    </w:p>
    <w:p w14:paraId="496FB79B" w14:textId="5DE39FDB" w:rsidR="007F4840" w:rsidRDefault="007F4840" w:rsidP="004B64CE">
      <w:pPr>
        <w:spacing w:after="0"/>
        <w:rPr>
          <w:rFonts w:cs="Arial"/>
          <w:sz w:val="24"/>
          <w:szCs w:val="24"/>
        </w:rPr>
      </w:pPr>
    </w:p>
    <w:p w14:paraId="007879A4" w14:textId="28DF3D54" w:rsidR="007F4840" w:rsidRDefault="007F4840" w:rsidP="004B64CE">
      <w:pPr>
        <w:spacing w:after="0"/>
        <w:rPr>
          <w:rFonts w:cs="Arial"/>
          <w:sz w:val="24"/>
          <w:szCs w:val="24"/>
        </w:rPr>
      </w:pPr>
    </w:p>
    <w:p w14:paraId="17409490" w14:textId="23901D83" w:rsidR="007F4840" w:rsidRDefault="007F4840" w:rsidP="004B64CE">
      <w:pPr>
        <w:spacing w:after="0"/>
        <w:rPr>
          <w:rFonts w:cs="Arial"/>
          <w:sz w:val="24"/>
          <w:szCs w:val="24"/>
        </w:rPr>
      </w:pPr>
    </w:p>
    <w:p w14:paraId="6AC8E778" w14:textId="3864C39E" w:rsidR="007F4840" w:rsidRDefault="007F4840" w:rsidP="004B64CE">
      <w:pPr>
        <w:spacing w:after="0"/>
        <w:rPr>
          <w:rFonts w:cs="Arial"/>
          <w:sz w:val="24"/>
          <w:szCs w:val="24"/>
        </w:rPr>
      </w:pPr>
    </w:p>
    <w:p w14:paraId="0CB15E8A" w14:textId="0B849B51" w:rsidR="007F4840" w:rsidRDefault="007F4840" w:rsidP="004B64CE">
      <w:pPr>
        <w:spacing w:after="0"/>
        <w:rPr>
          <w:rFonts w:cs="Arial"/>
          <w:sz w:val="24"/>
          <w:szCs w:val="24"/>
        </w:rPr>
      </w:pPr>
    </w:p>
    <w:p w14:paraId="79473B54" w14:textId="3CBBFB9A" w:rsidR="007F4840" w:rsidRDefault="007F4840" w:rsidP="004B64CE">
      <w:pPr>
        <w:spacing w:after="0"/>
        <w:rPr>
          <w:rFonts w:cs="Arial"/>
          <w:sz w:val="24"/>
          <w:szCs w:val="24"/>
        </w:rPr>
      </w:pPr>
    </w:p>
    <w:p w14:paraId="356E36D8" w14:textId="77777777" w:rsidR="003C4E6E" w:rsidRDefault="003C4E6E" w:rsidP="003C4E6E">
      <w:pPr>
        <w:spacing w:after="0"/>
        <w:rPr>
          <w:rFonts w:cs="Arial"/>
          <w:sz w:val="24"/>
          <w:szCs w:val="24"/>
        </w:rPr>
      </w:pPr>
    </w:p>
    <w:p w14:paraId="4BB82C52" w14:textId="77777777" w:rsidR="003C4E6E" w:rsidRDefault="003C4E6E" w:rsidP="003C4E6E">
      <w:pPr>
        <w:spacing w:after="0"/>
        <w:rPr>
          <w:rFonts w:cs="Arial"/>
          <w:sz w:val="24"/>
          <w:szCs w:val="24"/>
        </w:rPr>
      </w:pPr>
    </w:p>
    <w:p w14:paraId="05105B60" w14:textId="77777777" w:rsidR="003C4E6E" w:rsidRDefault="003C4E6E" w:rsidP="003C4E6E">
      <w:pPr>
        <w:spacing w:after="0"/>
        <w:rPr>
          <w:rFonts w:eastAsiaTheme="majorEastAsia" w:cs="Arial"/>
          <w:b/>
          <w:bCs/>
          <w:color w:val="374C80" w:themeColor="accent1" w:themeShade="BF"/>
          <w:sz w:val="24"/>
          <w:szCs w:val="24"/>
        </w:rPr>
      </w:pPr>
    </w:p>
    <w:p w14:paraId="23BE7BFD" w14:textId="77777777" w:rsidR="003C4E6E" w:rsidRDefault="003C4E6E" w:rsidP="003C4E6E">
      <w:pPr>
        <w:spacing w:after="0"/>
        <w:rPr>
          <w:rFonts w:eastAsiaTheme="majorEastAsia" w:cs="Arial"/>
          <w:b/>
          <w:bCs/>
          <w:color w:val="374C80" w:themeColor="accent1" w:themeShade="BF"/>
          <w:sz w:val="24"/>
          <w:szCs w:val="24"/>
        </w:rPr>
        <w:sectPr w:rsidR="003C4E6E" w:rsidSect="003C4E6E">
          <w:headerReference w:type="default" r:id="rId18"/>
          <w:footerReference w:type="default" r:id="rId19"/>
          <w:pgSz w:w="11906" w:h="16838"/>
          <w:pgMar w:top="1440" w:right="1440" w:bottom="1440" w:left="1134" w:header="709" w:footer="709" w:gutter="0"/>
          <w:cols w:space="708"/>
          <w:docGrid w:linePitch="360"/>
        </w:sectPr>
      </w:pPr>
    </w:p>
    <w:p w14:paraId="3C6320D8" w14:textId="2D741AB9" w:rsidR="003C4E6E" w:rsidRDefault="003C4E6E" w:rsidP="003C4E6E">
      <w:pPr>
        <w:spacing w:after="0"/>
        <w:rPr>
          <w:rFonts w:eastAsiaTheme="majorEastAsia" w:cs="Arial"/>
          <w:b/>
          <w:bCs/>
          <w:color w:val="374C80" w:themeColor="accent1" w:themeShade="BF"/>
          <w:sz w:val="24"/>
          <w:szCs w:val="24"/>
        </w:rPr>
      </w:pPr>
      <w:r>
        <w:rPr>
          <w:rFonts w:eastAsiaTheme="majorEastAsia" w:cs="Arial"/>
          <w:b/>
          <w:bCs/>
          <w:color w:val="374C80" w:themeColor="accent1" w:themeShade="BF"/>
          <w:sz w:val="24"/>
          <w:szCs w:val="24"/>
        </w:rPr>
        <w:lastRenderedPageBreak/>
        <w:t xml:space="preserve">Appendix 1: Local patient safety priorities </w:t>
      </w:r>
    </w:p>
    <w:p w14:paraId="41EFC055" w14:textId="77777777" w:rsidR="003C4E6E" w:rsidRDefault="003C4E6E" w:rsidP="003C4E6E">
      <w:pPr>
        <w:spacing w:after="0"/>
        <w:rPr>
          <w:rFonts w:eastAsiaTheme="majorEastAsia" w:cs="Arial"/>
          <w:b/>
          <w:bCs/>
          <w:color w:val="374C80" w:themeColor="accent1" w:themeShade="BF"/>
          <w:sz w:val="24"/>
          <w:szCs w:val="24"/>
        </w:rPr>
      </w:pPr>
    </w:p>
    <w:tbl>
      <w:tblPr>
        <w:tblW w:w="14884"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93"/>
        <w:gridCol w:w="2268"/>
        <w:gridCol w:w="5670"/>
        <w:gridCol w:w="5953"/>
      </w:tblGrid>
      <w:tr w:rsidR="003C4E6E" w:rsidRPr="004B64CE" w14:paraId="201F9815" w14:textId="77777777" w:rsidTr="003C4E6E">
        <w:tc>
          <w:tcPr>
            <w:tcW w:w="993" w:type="dxa"/>
            <w:shd w:val="clear" w:color="auto" w:fill="9BC7CE" w:themeFill="accent5" w:themeFillTint="99"/>
          </w:tcPr>
          <w:p w14:paraId="25B249C2" w14:textId="77777777" w:rsidR="003C4E6E" w:rsidRPr="00446495" w:rsidRDefault="003C4E6E" w:rsidP="008F59C4">
            <w:pPr>
              <w:spacing w:after="0" w:line="240" w:lineRule="auto"/>
              <w:rPr>
                <w:rFonts w:eastAsia="Arial" w:cs="Arial"/>
                <w:b/>
              </w:rPr>
            </w:pPr>
            <w:r w:rsidRPr="00446495">
              <w:rPr>
                <w:rFonts w:eastAsia="Arial" w:cs="Arial"/>
                <w:b/>
              </w:rPr>
              <w:t>Priority</w:t>
            </w:r>
          </w:p>
        </w:tc>
        <w:tc>
          <w:tcPr>
            <w:tcW w:w="2268" w:type="dxa"/>
            <w:shd w:val="clear" w:color="auto" w:fill="9BC7CE" w:themeFill="accent5" w:themeFillTint="99"/>
          </w:tcPr>
          <w:p w14:paraId="43C458E4" w14:textId="77777777" w:rsidR="003C4E6E" w:rsidRPr="00446495" w:rsidRDefault="003C4E6E" w:rsidP="008F59C4">
            <w:pPr>
              <w:spacing w:after="0" w:line="240" w:lineRule="auto"/>
              <w:rPr>
                <w:rFonts w:eastAsia="Arial" w:cs="Arial"/>
                <w:b/>
              </w:rPr>
            </w:pPr>
            <w:r w:rsidRPr="00446495">
              <w:rPr>
                <w:rFonts w:eastAsia="Arial" w:cs="Arial"/>
                <w:b/>
              </w:rPr>
              <w:t xml:space="preserve">Patient safety incident type or issue </w:t>
            </w:r>
          </w:p>
        </w:tc>
        <w:tc>
          <w:tcPr>
            <w:tcW w:w="5670" w:type="dxa"/>
            <w:shd w:val="clear" w:color="auto" w:fill="9BC7CE" w:themeFill="accent5" w:themeFillTint="99"/>
          </w:tcPr>
          <w:p w14:paraId="5E92EC42" w14:textId="77777777" w:rsidR="003C4E6E" w:rsidRPr="00446495" w:rsidRDefault="003C4E6E" w:rsidP="008F59C4">
            <w:pPr>
              <w:spacing w:after="0" w:line="240" w:lineRule="auto"/>
              <w:rPr>
                <w:rFonts w:eastAsia="Arial" w:cs="Arial"/>
                <w:b/>
              </w:rPr>
            </w:pPr>
            <w:r w:rsidRPr="00446495">
              <w:rPr>
                <w:rFonts w:eastAsia="Arial" w:cs="Arial"/>
                <w:b/>
                <w:bCs/>
              </w:rPr>
              <w:t xml:space="preserve">Planned response / Sampling technique </w:t>
            </w:r>
          </w:p>
        </w:tc>
        <w:tc>
          <w:tcPr>
            <w:tcW w:w="5953" w:type="dxa"/>
            <w:shd w:val="clear" w:color="auto" w:fill="9BC7CE" w:themeFill="accent5" w:themeFillTint="99"/>
          </w:tcPr>
          <w:p w14:paraId="457E7A1E" w14:textId="77777777" w:rsidR="003C4E6E" w:rsidRPr="00446495" w:rsidRDefault="003C4E6E" w:rsidP="008F59C4">
            <w:pPr>
              <w:spacing w:after="0" w:line="240" w:lineRule="auto"/>
              <w:rPr>
                <w:rFonts w:eastAsia="Arial" w:cs="Arial"/>
                <w:b/>
              </w:rPr>
            </w:pPr>
            <w:r w:rsidRPr="00446495">
              <w:rPr>
                <w:rFonts w:eastAsia="Arial" w:cs="Arial"/>
                <w:b/>
              </w:rPr>
              <w:t xml:space="preserve">Improvement </w:t>
            </w:r>
            <w:r>
              <w:rPr>
                <w:rFonts w:eastAsia="Arial" w:cs="Arial"/>
                <w:b/>
              </w:rPr>
              <w:t>route</w:t>
            </w:r>
          </w:p>
        </w:tc>
      </w:tr>
      <w:tr w:rsidR="003C4E6E" w:rsidRPr="004B64CE" w14:paraId="359C6796" w14:textId="77777777" w:rsidTr="003C4E6E">
        <w:tc>
          <w:tcPr>
            <w:tcW w:w="993" w:type="dxa"/>
          </w:tcPr>
          <w:p w14:paraId="771A2688" w14:textId="77777777" w:rsidR="003C4E6E" w:rsidRPr="00446495" w:rsidRDefault="003C4E6E" w:rsidP="008F59C4">
            <w:pPr>
              <w:spacing w:after="0" w:line="240" w:lineRule="auto"/>
              <w:rPr>
                <w:rFonts w:cs="Arial"/>
                <w:b/>
                <w:bCs/>
              </w:rPr>
            </w:pPr>
            <w:r w:rsidRPr="00446495">
              <w:rPr>
                <w:rFonts w:cs="Arial"/>
                <w:b/>
                <w:bCs/>
              </w:rPr>
              <w:t>1.</w:t>
            </w:r>
          </w:p>
        </w:tc>
        <w:tc>
          <w:tcPr>
            <w:tcW w:w="2268" w:type="dxa"/>
          </w:tcPr>
          <w:p w14:paraId="4145257E" w14:textId="77777777" w:rsidR="003C4E6E" w:rsidRPr="00446495" w:rsidRDefault="003C4E6E" w:rsidP="008F59C4">
            <w:pPr>
              <w:spacing w:after="0" w:line="240" w:lineRule="auto"/>
              <w:rPr>
                <w:rFonts w:cs="Arial"/>
              </w:rPr>
            </w:pPr>
            <w:r w:rsidRPr="00446495">
              <w:rPr>
                <w:rFonts w:cs="Arial"/>
              </w:rPr>
              <w:t>Pressure damage with lapses in care causing moderate</w:t>
            </w:r>
            <w:r>
              <w:rPr>
                <w:rFonts w:cs="Arial"/>
              </w:rPr>
              <w:t xml:space="preserve">, </w:t>
            </w:r>
            <w:r w:rsidRPr="00446495">
              <w:rPr>
                <w:rFonts w:cs="Arial"/>
              </w:rPr>
              <w:t>major harm</w:t>
            </w:r>
            <w:r>
              <w:rPr>
                <w:rFonts w:cs="Arial"/>
              </w:rPr>
              <w:t xml:space="preserve"> or </w:t>
            </w:r>
            <w:proofErr w:type="gramStart"/>
            <w:r>
              <w:rPr>
                <w:rFonts w:cs="Arial"/>
              </w:rPr>
              <w:t>death</w:t>
            </w:r>
            <w:proofErr w:type="gramEnd"/>
          </w:p>
          <w:p w14:paraId="14BC36CE" w14:textId="77777777" w:rsidR="003C4E6E" w:rsidRPr="00446495" w:rsidRDefault="003C4E6E" w:rsidP="008F59C4">
            <w:pPr>
              <w:spacing w:after="0" w:line="240" w:lineRule="auto"/>
              <w:rPr>
                <w:rFonts w:cs="Arial"/>
              </w:rPr>
            </w:pPr>
          </w:p>
          <w:p w14:paraId="138F431F" w14:textId="77777777" w:rsidR="003C4E6E" w:rsidRPr="00446495" w:rsidRDefault="003C4E6E" w:rsidP="008F59C4">
            <w:pPr>
              <w:spacing w:after="0" w:line="240" w:lineRule="auto"/>
              <w:rPr>
                <w:rFonts w:cs="Arial"/>
              </w:rPr>
            </w:pPr>
          </w:p>
          <w:p w14:paraId="7A0EBE45" w14:textId="77777777" w:rsidR="003C4E6E" w:rsidRPr="00446495" w:rsidRDefault="003C4E6E" w:rsidP="008F59C4">
            <w:pPr>
              <w:spacing w:after="0" w:line="240" w:lineRule="auto"/>
              <w:rPr>
                <w:rFonts w:cs="Arial"/>
              </w:rPr>
            </w:pPr>
          </w:p>
          <w:p w14:paraId="22A65E3F" w14:textId="77777777" w:rsidR="003C4E6E" w:rsidRPr="00446495" w:rsidRDefault="003C4E6E" w:rsidP="008F59C4">
            <w:pPr>
              <w:spacing w:after="0" w:line="240" w:lineRule="auto"/>
              <w:rPr>
                <w:rFonts w:cs="Arial"/>
              </w:rPr>
            </w:pPr>
          </w:p>
          <w:p w14:paraId="637A500E" w14:textId="77777777" w:rsidR="003C4E6E" w:rsidRPr="00446495" w:rsidRDefault="003C4E6E" w:rsidP="008F59C4">
            <w:pPr>
              <w:spacing w:after="0" w:line="240" w:lineRule="auto"/>
              <w:rPr>
                <w:rFonts w:cs="Arial"/>
              </w:rPr>
            </w:pPr>
          </w:p>
        </w:tc>
        <w:tc>
          <w:tcPr>
            <w:tcW w:w="5670" w:type="dxa"/>
          </w:tcPr>
          <w:p w14:paraId="665E19A0" w14:textId="77777777" w:rsidR="003C4E6E" w:rsidRPr="008A7D59" w:rsidRDefault="003C4E6E" w:rsidP="008F59C4">
            <w:pPr>
              <w:spacing w:after="0"/>
              <w:rPr>
                <w:rFonts w:eastAsia="Arial" w:cs="Arial"/>
                <w:bCs/>
              </w:rPr>
            </w:pPr>
            <w:r w:rsidRPr="008A7D59">
              <w:rPr>
                <w:rFonts w:eastAsia="Arial" w:cs="Arial"/>
                <w:bCs/>
              </w:rPr>
              <w:t>Any incident with themes corresponding to the Trust Pressure Ulcer Improvement Plan will be managed via the associated improvement group.</w:t>
            </w:r>
          </w:p>
          <w:p w14:paraId="430A0895" w14:textId="77777777" w:rsidR="003C4E6E" w:rsidRPr="008A7D59" w:rsidRDefault="003C4E6E" w:rsidP="008F59C4">
            <w:pPr>
              <w:spacing w:after="0"/>
              <w:rPr>
                <w:rFonts w:cs="Arial"/>
              </w:rPr>
            </w:pPr>
          </w:p>
          <w:p w14:paraId="72F826D3" w14:textId="77777777" w:rsidR="003C4E6E" w:rsidRPr="008A7D59" w:rsidRDefault="003C4E6E" w:rsidP="008F59C4">
            <w:pPr>
              <w:spacing w:after="0"/>
              <w:rPr>
                <w:rFonts w:eastAsia="Arial" w:cs="Arial"/>
              </w:rPr>
            </w:pPr>
            <w:r w:rsidRPr="008A7D59">
              <w:rPr>
                <w:rFonts w:cs="Arial"/>
              </w:rPr>
              <w:t xml:space="preserve">Any incident with themes not already captured on the Trust Improvement Plan will be managed in line with Priority 7 with </w:t>
            </w:r>
            <w:r>
              <w:rPr>
                <w:rFonts w:cs="Arial"/>
              </w:rPr>
              <w:t xml:space="preserve">an </w:t>
            </w:r>
            <w:r w:rsidRPr="008A7D59">
              <w:rPr>
                <w:rFonts w:cs="Arial"/>
              </w:rPr>
              <w:t xml:space="preserve">appropriate </w:t>
            </w:r>
            <w:r>
              <w:rPr>
                <w:rFonts w:cs="Arial"/>
              </w:rPr>
              <w:t xml:space="preserve">learning response </w:t>
            </w:r>
            <w:r w:rsidRPr="008A7D59">
              <w:rPr>
                <w:rFonts w:cs="Arial"/>
              </w:rPr>
              <w:t xml:space="preserve">tool </w:t>
            </w:r>
            <w:proofErr w:type="gramStart"/>
            <w:r w:rsidRPr="008A7D59">
              <w:rPr>
                <w:rFonts w:cs="Arial"/>
              </w:rPr>
              <w:t>e.g.</w:t>
            </w:r>
            <w:proofErr w:type="gramEnd"/>
            <w:r w:rsidRPr="008A7D59">
              <w:rPr>
                <w:rFonts w:cs="Arial"/>
              </w:rPr>
              <w:t xml:space="preserve"> PSII, A</w:t>
            </w:r>
            <w:r>
              <w:rPr>
                <w:rFonts w:cs="Arial"/>
              </w:rPr>
              <w:t>fter Action Review (AAR)</w:t>
            </w:r>
            <w:r w:rsidRPr="008A7D59">
              <w:rPr>
                <w:rFonts w:cs="Arial"/>
              </w:rPr>
              <w:t>, SWARM</w:t>
            </w:r>
            <w:r>
              <w:rPr>
                <w:rFonts w:cs="Arial"/>
              </w:rPr>
              <w:t xml:space="preserve"> huddle</w:t>
            </w:r>
            <w:r w:rsidRPr="008A7D59">
              <w:rPr>
                <w:rFonts w:cs="Arial"/>
              </w:rPr>
              <w:t>, M</w:t>
            </w:r>
            <w:r>
              <w:rPr>
                <w:rFonts w:cs="Arial"/>
              </w:rPr>
              <w:t xml:space="preserve">ultidisciplinary </w:t>
            </w:r>
            <w:r w:rsidRPr="008A7D59">
              <w:rPr>
                <w:rFonts w:cs="Arial"/>
              </w:rPr>
              <w:t>T</w:t>
            </w:r>
            <w:r>
              <w:rPr>
                <w:rFonts w:cs="Arial"/>
              </w:rPr>
              <w:t>eam (MDT) review</w:t>
            </w:r>
            <w:r w:rsidRPr="008A7D59">
              <w:rPr>
                <w:rFonts w:cs="Arial"/>
              </w:rPr>
              <w:t>.</w:t>
            </w:r>
          </w:p>
        </w:tc>
        <w:tc>
          <w:tcPr>
            <w:tcW w:w="5953" w:type="dxa"/>
          </w:tcPr>
          <w:p w14:paraId="34F65FAB" w14:textId="77777777" w:rsidR="003C4E6E" w:rsidRDefault="003C4E6E" w:rsidP="008F59C4">
            <w:pPr>
              <w:spacing w:after="0"/>
              <w:rPr>
                <w:rFonts w:eastAsia="Arial" w:cs="Arial"/>
              </w:rPr>
            </w:pPr>
            <w:r w:rsidRPr="00446495">
              <w:rPr>
                <w:rFonts w:eastAsia="Arial" w:cs="Arial"/>
              </w:rPr>
              <w:t xml:space="preserve">Trust </w:t>
            </w:r>
            <w:r>
              <w:rPr>
                <w:rFonts w:eastAsia="Arial" w:cs="Arial"/>
              </w:rPr>
              <w:t xml:space="preserve">improvement plan </w:t>
            </w:r>
            <w:r w:rsidRPr="008A7D59">
              <w:rPr>
                <w:rFonts w:eastAsia="Arial" w:cs="Arial"/>
              </w:rPr>
              <w:t>(based on Model for Improvement) actions, monitored through</w:t>
            </w:r>
            <w:r w:rsidRPr="00446495">
              <w:rPr>
                <w:rFonts w:eastAsia="Arial" w:cs="Arial"/>
              </w:rPr>
              <w:t xml:space="preserve"> </w:t>
            </w:r>
            <w:r>
              <w:rPr>
                <w:rFonts w:eastAsia="Arial" w:cs="Arial"/>
              </w:rPr>
              <w:t xml:space="preserve">Quality &amp; Improvement Group (QAIG) and escalations to </w:t>
            </w:r>
            <w:r w:rsidRPr="00446495">
              <w:rPr>
                <w:rFonts w:eastAsia="Arial" w:cs="Arial"/>
              </w:rPr>
              <w:t>Quality Committee</w:t>
            </w:r>
            <w:r>
              <w:rPr>
                <w:rFonts w:eastAsia="Arial" w:cs="Arial"/>
              </w:rPr>
              <w:t>. Escalations outside of this formal route will take place from the Head of Clinical Governance to Deputy Director of Nursing &amp; Quality (</w:t>
            </w:r>
            <w:proofErr w:type="spellStart"/>
            <w:r>
              <w:rPr>
                <w:rFonts w:eastAsia="Arial" w:cs="Arial"/>
              </w:rPr>
              <w:t>DDoNQ</w:t>
            </w:r>
            <w:proofErr w:type="spellEnd"/>
            <w:r>
              <w:rPr>
                <w:rFonts w:eastAsia="Arial" w:cs="Arial"/>
              </w:rPr>
              <w:t xml:space="preserve">). The </w:t>
            </w:r>
            <w:proofErr w:type="spellStart"/>
            <w:r>
              <w:rPr>
                <w:rFonts w:eastAsia="Arial" w:cs="Arial"/>
              </w:rPr>
              <w:t>DDoNQ</w:t>
            </w:r>
            <w:proofErr w:type="spellEnd"/>
            <w:r>
              <w:rPr>
                <w:rFonts w:eastAsia="Arial" w:cs="Arial"/>
              </w:rPr>
              <w:t xml:space="preserve"> will receive minutes from each improvement group minutes and sign off each update report to ensure oversight of duplicated learning </w:t>
            </w:r>
            <w:proofErr w:type="gramStart"/>
            <w:r>
              <w:rPr>
                <w:rFonts w:eastAsia="Arial" w:cs="Arial"/>
              </w:rPr>
              <w:t>themes</w:t>
            </w:r>
            <w:proofErr w:type="gramEnd"/>
            <w:r>
              <w:rPr>
                <w:rFonts w:eastAsia="Arial" w:cs="Arial"/>
              </w:rPr>
              <w:t xml:space="preserve">  </w:t>
            </w:r>
          </w:p>
          <w:p w14:paraId="6AC0F610" w14:textId="77777777" w:rsidR="003C4E6E" w:rsidRDefault="003C4E6E" w:rsidP="008F59C4">
            <w:pPr>
              <w:spacing w:after="0"/>
              <w:rPr>
                <w:rFonts w:eastAsia="Arial" w:cs="Arial"/>
              </w:rPr>
            </w:pPr>
          </w:p>
          <w:p w14:paraId="07ACC6F1" w14:textId="77777777" w:rsidR="003C4E6E" w:rsidRDefault="003C4E6E" w:rsidP="008F59C4">
            <w:pPr>
              <w:spacing w:after="0"/>
              <w:rPr>
                <w:rFonts w:eastAsia="Arial" w:cs="Arial"/>
              </w:rPr>
            </w:pPr>
            <w:r>
              <w:rPr>
                <w:rFonts w:eastAsia="Arial" w:cs="Arial"/>
              </w:rPr>
              <w:t xml:space="preserve">PSII actions will be added and monitored through Datix. </w:t>
            </w:r>
          </w:p>
          <w:p w14:paraId="0A58BA16" w14:textId="77777777" w:rsidR="003C4E6E" w:rsidRDefault="003C4E6E" w:rsidP="008F59C4">
            <w:pPr>
              <w:spacing w:after="0"/>
              <w:rPr>
                <w:rFonts w:eastAsia="Arial" w:cs="Arial"/>
              </w:rPr>
            </w:pPr>
          </w:p>
          <w:p w14:paraId="08E789C1" w14:textId="77777777" w:rsidR="003C4E6E" w:rsidRPr="00446495" w:rsidRDefault="003C4E6E" w:rsidP="008F59C4">
            <w:pPr>
              <w:spacing w:after="0"/>
              <w:rPr>
                <w:rFonts w:eastAsia="Arial" w:cs="Arial"/>
              </w:rPr>
            </w:pPr>
            <w:r>
              <w:rPr>
                <w:rFonts w:eastAsia="Arial" w:cs="Arial"/>
              </w:rPr>
              <w:t xml:space="preserve">A quarterly PSIRF newsletter will be distributed to include learning from each improvement group. </w:t>
            </w:r>
          </w:p>
        </w:tc>
      </w:tr>
      <w:tr w:rsidR="003C4E6E" w:rsidRPr="004B64CE" w14:paraId="48FA086B" w14:textId="77777777" w:rsidTr="003C4E6E">
        <w:tc>
          <w:tcPr>
            <w:tcW w:w="993" w:type="dxa"/>
          </w:tcPr>
          <w:p w14:paraId="4C3EC15B" w14:textId="77777777" w:rsidR="003C4E6E" w:rsidRPr="00446495" w:rsidRDefault="003C4E6E" w:rsidP="008F59C4">
            <w:pPr>
              <w:spacing w:after="0" w:line="240" w:lineRule="auto"/>
              <w:rPr>
                <w:rFonts w:cs="Arial"/>
                <w:b/>
                <w:bCs/>
              </w:rPr>
            </w:pPr>
            <w:r w:rsidRPr="00446495">
              <w:rPr>
                <w:rFonts w:cs="Arial"/>
                <w:b/>
                <w:bCs/>
              </w:rPr>
              <w:t>2.</w:t>
            </w:r>
          </w:p>
        </w:tc>
        <w:tc>
          <w:tcPr>
            <w:tcW w:w="2268" w:type="dxa"/>
          </w:tcPr>
          <w:p w14:paraId="1E8C8E10" w14:textId="77777777" w:rsidR="003C4E6E" w:rsidRPr="00446495" w:rsidRDefault="003C4E6E" w:rsidP="008F59C4">
            <w:pPr>
              <w:spacing w:after="0" w:line="240" w:lineRule="auto"/>
              <w:rPr>
                <w:rFonts w:cs="Arial"/>
              </w:rPr>
            </w:pPr>
            <w:r w:rsidRPr="00446495">
              <w:rPr>
                <w:rFonts w:cs="Arial"/>
              </w:rPr>
              <w:t>Patient falls with lapses in care and resulting in moderate</w:t>
            </w:r>
            <w:r>
              <w:rPr>
                <w:rFonts w:cs="Arial"/>
              </w:rPr>
              <w:t>,</w:t>
            </w:r>
            <w:r w:rsidRPr="00446495">
              <w:rPr>
                <w:rFonts w:cs="Arial"/>
              </w:rPr>
              <w:t xml:space="preserve"> major harm </w:t>
            </w:r>
            <w:r>
              <w:rPr>
                <w:rFonts w:cs="Arial"/>
              </w:rPr>
              <w:t>or death</w:t>
            </w:r>
          </w:p>
        </w:tc>
        <w:tc>
          <w:tcPr>
            <w:tcW w:w="5670" w:type="dxa"/>
          </w:tcPr>
          <w:p w14:paraId="1132B2AA" w14:textId="77777777" w:rsidR="003C4E6E" w:rsidRPr="008A7D59" w:rsidRDefault="003C4E6E" w:rsidP="008F59C4">
            <w:pPr>
              <w:spacing w:after="0"/>
              <w:rPr>
                <w:rFonts w:eastAsia="Arial" w:cs="Arial"/>
                <w:bCs/>
              </w:rPr>
            </w:pPr>
            <w:r w:rsidRPr="008A7D59">
              <w:rPr>
                <w:rFonts w:eastAsia="Arial" w:cs="Arial"/>
                <w:bCs/>
              </w:rPr>
              <w:t>Any incident with themes corresponding to the Trust Falls Improvement Plan will be managed via the associated improvement group.</w:t>
            </w:r>
          </w:p>
          <w:p w14:paraId="60FCD5BC" w14:textId="77777777" w:rsidR="003C4E6E" w:rsidRPr="008A7D59" w:rsidRDefault="003C4E6E" w:rsidP="008F59C4">
            <w:pPr>
              <w:spacing w:after="0"/>
              <w:rPr>
                <w:rFonts w:eastAsia="Arial" w:cs="Arial"/>
                <w:bCs/>
              </w:rPr>
            </w:pPr>
          </w:p>
          <w:p w14:paraId="5EA06D0E" w14:textId="77777777" w:rsidR="003C4E6E" w:rsidRPr="008A7D59" w:rsidRDefault="003C4E6E" w:rsidP="008F59C4">
            <w:pPr>
              <w:spacing w:after="0"/>
              <w:rPr>
                <w:rFonts w:eastAsia="Arial" w:cs="Arial"/>
              </w:rPr>
            </w:pPr>
            <w:r w:rsidRPr="008A7D59">
              <w:rPr>
                <w:rFonts w:cs="Arial"/>
              </w:rPr>
              <w:t>Any incident with themes not already captured on the Trust Improvement Plan will be managed in line with Priority 7</w:t>
            </w:r>
            <w:r>
              <w:rPr>
                <w:rFonts w:cs="Arial"/>
              </w:rPr>
              <w:t xml:space="preserve"> </w:t>
            </w:r>
            <w:r w:rsidRPr="008A7D59">
              <w:rPr>
                <w:rFonts w:cs="Arial"/>
              </w:rPr>
              <w:t xml:space="preserve">with </w:t>
            </w:r>
            <w:r>
              <w:rPr>
                <w:rFonts w:cs="Arial"/>
              </w:rPr>
              <w:t xml:space="preserve">an </w:t>
            </w:r>
            <w:r w:rsidRPr="008A7D59">
              <w:rPr>
                <w:rFonts w:cs="Arial"/>
              </w:rPr>
              <w:t xml:space="preserve">appropriate </w:t>
            </w:r>
            <w:r>
              <w:rPr>
                <w:rFonts w:cs="Arial"/>
              </w:rPr>
              <w:t xml:space="preserve">learning response </w:t>
            </w:r>
            <w:r w:rsidRPr="008A7D59">
              <w:rPr>
                <w:rFonts w:cs="Arial"/>
              </w:rPr>
              <w:t xml:space="preserve">tool </w:t>
            </w:r>
            <w:proofErr w:type="gramStart"/>
            <w:r w:rsidRPr="008A7D59">
              <w:rPr>
                <w:rFonts w:cs="Arial"/>
              </w:rPr>
              <w:t>e.g.</w:t>
            </w:r>
            <w:proofErr w:type="gramEnd"/>
            <w:r w:rsidRPr="008A7D59">
              <w:rPr>
                <w:rFonts w:cs="Arial"/>
              </w:rPr>
              <w:t xml:space="preserve"> PSII, AAR, SWARM, MDT.</w:t>
            </w:r>
          </w:p>
        </w:tc>
        <w:tc>
          <w:tcPr>
            <w:tcW w:w="5953" w:type="dxa"/>
          </w:tcPr>
          <w:p w14:paraId="4B84912B" w14:textId="77777777" w:rsidR="003C4E6E" w:rsidRPr="00E15AF1" w:rsidRDefault="003C4E6E" w:rsidP="008F59C4">
            <w:pPr>
              <w:spacing w:after="0"/>
              <w:rPr>
                <w:rFonts w:eastAsia="Arial" w:cs="Arial"/>
              </w:rPr>
            </w:pPr>
            <w:r w:rsidRPr="00E15AF1">
              <w:rPr>
                <w:rFonts w:eastAsia="Arial" w:cs="Arial"/>
              </w:rPr>
              <w:t>Trust improvement plan (based on Model for Improvement) actions, monitored through Quality &amp; Improvement Group (QAIG) and escalations to Quality Committee. Escalations outside of this formal route will take place from the Head of Clinical Governance to Deputy Director of Nursing &amp; Quality (</w:t>
            </w:r>
            <w:proofErr w:type="spellStart"/>
            <w:r w:rsidRPr="00E15AF1">
              <w:rPr>
                <w:rFonts w:eastAsia="Arial" w:cs="Arial"/>
              </w:rPr>
              <w:t>DDoNQ</w:t>
            </w:r>
            <w:proofErr w:type="spellEnd"/>
            <w:r w:rsidRPr="00E15AF1">
              <w:rPr>
                <w:rFonts w:eastAsia="Arial" w:cs="Arial"/>
              </w:rPr>
              <w:t xml:space="preserve">). The </w:t>
            </w:r>
            <w:proofErr w:type="spellStart"/>
            <w:r w:rsidRPr="00E15AF1">
              <w:rPr>
                <w:rFonts w:eastAsia="Arial" w:cs="Arial"/>
              </w:rPr>
              <w:t>DDoNQ</w:t>
            </w:r>
            <w:proofErr w:type="spellEnd"/>
            <w:r w:rsidRPr="00E15AF1">
              <w:rPr>
                <w:rFonts w:eastAsia="Arial" w:cs="Arial"/>
              </w:rPr>
              <w:t xml:space="preserve"> will receive minutes from each improvement group minutes and sign off each update report to ensure oversight of duplicated learning </w:t>
            </w:r>
            <w:proofErr w:type="gramStart"/>
            <w:r w:rsidRPr="00E15AF1">
              <w:rPr>
                <w:rFonts w:eastAsia="Arial" w:cs="Arial"/>
              </w:rPr>
              <w:t>themes</w:t>
            </w:r>
            <w:proofErr w:type="gramEnd"/>
            <w:r w:rsidRPr="00E15AF1">
              <w:rPr>
                <w:rFonts w:eastAsia="Arial" w:cs="Arial"/>
              </w:rPr>
              <w:t xml:space="preserve">  </w:t>
            </w:r>
          </w:p>
          <w:p w14:paraId="37C20BB8" w14:textId="77777777" w:rsidR="003C4E6E" w:rsidRPr="00E15AF1" w:rsidRDefault="003C4E6E" w:rsidP="008F59C4">
            <w:pPr>
              <w:spacing w:after="0"/>
              <w:rPr>
                <w:rFonts w:eastAsia="Arial" w:cs="Arial"/>
              </w:rPr>
            </w:pPr>
          </w:p>
          <w:p w14:paraId="2A48574E" w14:textId="77777777" w:rsidR="003C4E6E" w:rsidRPr="00E15AF1" w:rsidRDefault="003C4E6E" w:rsidP="008F59C4">
            <w:pPr>
              <w:spacing w:after="0"/>
              <w:rPr>
                <w:rFonts w:eastAsia="Arial" w:cs="Arial"/>
              </w:rPr>
            </w:pPr>
            <w:r w:rsidRPr="00E15AF1">
              <w:rPr>
                <w:rFonts w:eastAsia="Arial" w:cs="Arial"/>
              </w:rPr>
              <w:lastRenderedPageBreak/>
              <w:t xml:space="preserve">PSII actions will be added and monitored through Datix. </w:t>
            </w:r>
          </w:p>
          <w:p w14:paraId="344A0D6C" w14:textId="77777777" w:rsidR="003C4E6E" w:rsidRPr="00E15AF1" w:rsidRDefault="003C4E6E" w:rsidP="008F59C4">
            <w:pPr>
              <w:spacing w:after="0"/>
              <w:rPr>
                <w:rFonts w:eastAsia="Arial" w:cs="Arial"/>
              </w:rPr>
            </w:pPr>
          </w:p>
          <w:p w14:paraId="17F1CA05" w14:textId="77777777" w:rsidR="003C4E6E" w:rsidRPr="00E15AF1" w:rsidRDefault="003C4E6E" w:rsidP="008F59C4">
            <w:pPr>
              <w:spacing w:after="0"/>
              <w:rPr>
                <w:rFonts w:eastAsia="Arial" w:cs="Arial"/>
              </w:rPr>
            </w:pPr>
            <w:r w:rsidRPr="00E15AF1">
              <w:rPr>
                <w:rFonts w:eastAsia="Arial" w:cs="Arial"/>
              </w:rPr>
              <w:t xml:space="preserve">A quarterly PSIRF newsletter will be distributed to include learning from each improvement </w:t>
            </w:r>
            <w:proofErr w:type="gramStart"/>
            <w:r w:rsidRPr="00E15AF1">
              <w:rPr>
                <w:rFonts w:eastAsia="Arial" w:cs="Arial"/>
              </w:rPr>
              <w:t>group</w:t>
            </w:r>
            <w:proofErr w:type="gramEnd"/>
          </w:p>
          <w:p w14:paraId="31DFD6DE" w14:textId="77777777" w:rsidR="003C4E6E" w:rsidRPr="00E15AF1" w:rsidRDefault="003C4E6E" w:rsidP="008F59C4">
            <w:pPr>
              <w:spacing w:after="0"/>
              <w:rPr>
                <w:rFonts w:eastAsia="Arial" w:cs="Arial"/>
              </w:rPr>
            </w:pPr>
          </w:p>
          <w:p w14:paraId="7342CD33" w14:textId="77777777" w:rsidR="003C4E6E" w:rsidRDefault="003C4E6E" w:rsidP="008F59C4">
            <w:pPr>
              <w:spacing w:after="0"/>
              <w:rPr>
                <w:rFonts w:eastAsia="Arial" w:cs="Arial"/>
              </w:rPr>
            </w:pPr>
            <w:r>
              <w:rPr>
                <w:rFonts w:eastAsia="Arial" w:cs="Arial"/>
              </w:rPr>
              <w:t>ABU audit</w:t>
            </w:r>
          </w:p>
          <w:p w14:paraId="64C71376" w14:textId="77777777" w:rsidR="003C4E6E" w:rsidRDefault="003C4E6E" w:rsidP="008F59C4">
            <w:pPr>
              <w:spacing w:after="0"/>
              <w:rPr>
                <w:rFonts w:eastAsia="Arial" w:cs="Arial"/>
              </w:rPr>
            </w:pPr>
          </w:p>
          <w:p w14:paraId="44429279" w14:textId="77777777" w:rsidR="003C4E6E" w:rsidRPr="00446495" w:rsidRDefault="003C4E6E" w:rsidP="008F59C4">
            <w:pPr>
              <w:spacing w:after="0"/>
              <w:rPr>
                <w:rFonts w:eastAsia="Arial" w:cs="Arial"/>
              </w:rPr>
            </w:pPr>
            <w:r>
              <w:rPr>
                <w:rFonts w:eastAsia="Arial" w:cs="Arial"/>
              </w:rPr>
              <w:t xml:space="preserve">CBU / SBU investigators share with safety team to cross reference with improvement plans </w:t>
            </w:r>
          </w:p>
        </w:tc>
      </w:tr>
      <w:tr w:rsidR="003C4E6E" w:rsidRPr="004B64CE" w14:paraId="44382ED9" w14:textId="77777777" w:rsidTr="003C4E6E">
        <w:tc>
          <w:tcPr>
            <w:tcW w:w="993" w:type="dxa"/>
          </w:tcPr>
          <w:p w14:paraId="3B21D041" w14:textId="77777777" w:rsidR="003C4E6E" w:rsidRPr="00446495" w:rsidRDefault="003C4E6E" w:rsidP="008F59C4">
            <w:pPr>
              <w:spacing w:after="0" w:line="240" w:lineRule="auto"/>
              <w:rPr>
                <w:rFonts w:cs="Arial"/>
                <w:b/>
                <w:bCs/>
              </w:rPr>
            </w:pPr>
            <w:r w:rsidRPr="00446495">
              <w:rPr>
                <w:rFonts w:cs="Arial"/>
                <w:b/>
                <w:bCs/>
              </w:rPr>
              <w:lastRenderedPageBreak/>
              <w:t>3.</w:t>
            </w:r>
          </w:p>
        </w:tc>
        <w:tc>
          <w:tcPr>
            <w:tcW w:w="2268" w:type="dxa"/>
          </w:tcPr>
          <w:p w14:paraId="1B3F3039" w14:textId="77777777" w:rsidR="003C4E6E" w:rsidRPr="00446495" w:rsidRDefault="003C4E6E" w:rsidP="008F59C4">
            <w:pPr>
              <w:spacing w:after="0" w:line="240" w:lineRule="auto"/>
              <w:rPr>
                <w:rFonts w:cs="Arial"/>
              </w:rPr>
            </w:pPr>
            <w:r w:rsidRPr="00446495">
              <w:rPr>
                <w:rFonts w:cs="Arial"/>
              </w:rPr>
              <w:t>Implementing care</w:t>
            </w:r>
            <w:r>
              <w:rPr>
                <w:rFonts w:cs="Arial"/>
              </w:rPr>
              <w:t xml:space="preserve"> </w:t>
            </w:r>
            <w:r w:rsidRPr="00446495">
              <w:rPr>
                <w:rFonts w:cs="Arial"/>
              </w:rPr>
              <w:t>/ deteriorating patient resulting in delayed admission to hospital</w:t>
            </w:r>
            <w:r>
              <w:rPr>
                <w:rFonts w:cs="Arial"/>
              </w:rPr>
              <w:t xml:space="preserve"> or death</w:t>
            </w:r>
          </w:p>
        </w:tc>
        <w:tc>
          <w:tcPr>
            <w:tcW w:w="5670" w:type="dxa"/>
          </w:tcPr>
          <w:p w14:paraId="6229AFAE" w14:textId="77777777" w:rsidR="003C4E6E" w:rsidRDefault="003C4E6E" w:rsidP="008F59C4">
            <w:pPr>
              <w:spacing w:after="0"/>
              <w:rPr>
                <w:rFonts w:eastAsia="Arial" w:cs="Arial"/>
              </w:rPr>
            </w:pPr>
            <w:r w:rsidRPr="00446495">
              <w:rPr>
                <w:rFonts w:eastAsia="Arial" w:cs="Arial"/>
              </w:rPr>
              <w:t>Thematic review of failure to recognise the deteriorating patient (review of incidents</w:t>
            </w:r>
            <w:r>
              <w:rPr>
                <w:rFonts w:eastAsia="Arial" w:cs="Arial"/>
              </w:rPr>
              <w:t xml:space="preserve"> from 12 Dec 2023-12 Feb 2024</w:t>
            </w:r>
            <w:r w:rsidRPr="00446495">
              <w:rPr>
                <w:rFonts w:eastAsia="Arial" w:cs="Arial"/>
              </w:rPr>
              <w:t xml:space="preserve">) </w:t>
            </w:r>
            <w:r>
              <w:rPr>
                <w:rFonts w:eastAsia="Arial" w:cs="Arial"/>
              </w:rPr>
              <w:t xml:space="preserve">to inform a new </w:t>
            </w:r>
            <w:r w:rsidRPr="00446495">
              <w:rPr>
                <w:rFonts w:eastAsia="Arial" w:cs="Arial"/>
              </w:rPr>
              <w:t xml:space="preserve">Trust Improvement Plan </w:t>
            </w:r>
            <w:r>
              <w:rPr>
                <w:rFonts w:eastAsia="Arial" w:cs="Arial"/>
              </w:rPr>
              <w:t xml:space="preserve">which will be managed via the associated </w:t>
            </w:r>
            <w:r w:rsidRPr="00446495">
              <w:rPr>
                <w:rFonts w:eastAsia="Arial" w:cs="Arial"/>
              </w:rPr>
              <w:t>Deteriorating Patient Improvement Group</w:t>
            </w:r>
            <w:r>
              <w:rPr>
                <w:rFonts w:eastAsia="Arial" w:cs="Arial"/>
              </w:rPr>
              <w:t xml:space="preserve">. </w:t>
            </w:r>
          </w:p>
          <w:p w14:paraId="74459028" w14:textId="77777777" w:rsidR="003C4E6E" w:rsidRDefault="003C4E6E" w:rsidP="008F59C4">
            <w:pPr>
              <w:spacing w:after="0"/>
              <w:rPr>
                <w:rFonts w:eastAsia="Arial" w:cs="Arial"/>
              </w:rPr>
            </w:pPr>
            <w:r>
              <w:rPr>
                <w:rFonts w:eastAsia="Arial" w:cs="Arial"/>
              </w:rPr>
              <w:t xml:space="preserve">The </w:t>
            </w:r>
          </w:p>
          <w:p w14:paraId="2BB84897" w14:textId="77777777" w:rsidR="003C4E6E" w:rsidRPr="00446495" w:rsidRDefault="003C4E6E" w:rsidP="008F59C4">
            <w:pPr>
              <w:spacing w:after="0"/>
              <w:rPr>
                <w:rFonts w:eastAsia="Arial" w:cs="Arial"/>
              </w:rPr>
            </w:pPr>
            <w:r>
              <w:rPr>
                <w:rFonts w:eastAsia="Arial" w:cs="Arial"/>
              </w:rPr>
              <w:t xml:space="preserve">Once established, new incidents will follow the approach of Priority 1 and 2. </w:t>
            </w:r>
          </w:p>
        </w:tc>
        <w:tc>
          <w:tcPr>
            <w:tcW w:w="5953" w:type="dxa"/>
          </w:tcPr>
          <w:p w14:paraId="57C59EA6" w14:textId="77777777" w:rsidR="003C4E6E" w:rsidRDefault="003C4E6E" w:rsidP="008F59C4">
            <w:pPr>
              <w:spacing w:after="0"/>
              <w:rPr>
                <w:rFonts w:eastAsia="Arial" w:cs="Arial"/>
              </w:rPr>
            </w:pPr>
            <w:r w:rsidRPr="00446495">
              <w:rPr>
                <w:rFonts w:eastAsia="Arial" w:cs="Arial"/>
              </w:rPr>
              <w:t xml:space="preserve">Trust </w:t>
            </w:r>
            <w:r>
              <w:rPr>
                <w:rFonts w:eastAsia="Arial" w:cs="Arial"/>
              </w:rPr>
              <w:t xml:space="preserve">improvement plan </w:t>
            </w:r>
            <w:r w:rsidRPr="008A7D59">
              <w:rPr>
                <w:rFonts w:eastAsia="Arial" w:cs="Arial"/>
              </w:rPr>
              <w:t>(based on Model for Improvement) actions, monitored through</w:t>
            </w:r>
            <w:r w:rsidRPr="00446495">
              <w:rPr>
                <w:rFonts w:eastAsia="Arial" w:cs="Arial"/>
              </w:rPr>
              <w:t xml:space="preserve"> </w:t>
            </w:r>
            <w:r>
              <w:rPr>
                <w:rFonts w:eastAsia="Arial" w:cs="Arial"/>
              </w:rPr>
              <w:t xml:space="preserve">Quality &amp; Improvement Group (QAIG) and escalations to </w:t>
            </w:r>
            <w:r w:rsidRPr="00446495">
              <w:rPr>
                <w:rFonts w:eastAsia="Arial" w:cs="Arial"/>
              </w:rPr>
              <w:t>Quality Committee</w:t>
            </w:r>
            <w:r>
              <w:rPr>
                <w:rFonts w:eastAsia="Arial" w:cs="Arial"/>
              </w:rPr>
              <w:t>. Escalations outside of this formal route will take place from the Head of Clinical Governance to Deputy Director of Nursing &amp; Quality (</w:t>
            </w:r>
            <w:proofErr w:type="spellStart"/>
            <w:r>
              <w:rPr>
                <w:rFonts w:eastAsia="Arial" w:cs="Arial"/>
              </w:rPr>
              <w:t>DDoNQ</w:t>
            </w:r>
            <w:proofErr w:type="spellEnd"/>
            <w:r>
              <w:rPr>
                <w:rFonts w:eastAsia="Arial" w:cs="Arial"/>
              </w:rPr>
              <w:t xml:space="preserve">). The </w:t>
            </w:r>
            <w:proofErr w:type="spellStart"/>
            <w:r>
              <w:rPr>
                <w:rFonts w:eastAsia="Arial" w:cs="Arial"/>
              </w:rPr>
              <w:t>DDoNQ</w:t>
            </w:r>
            <w:proofErr w:type="spellEnd"/>
            <w:r>
              <w:rPr>
                <w:rFonts w:eastAsia="Arial" w:cs="Arial"/>
              </w:rPr>
              <w:t xml:space="preserve"> will receive minutes from each improvement group minutes and sign off each update report to ensure oversight of duplicated learning </w:t>
            </w:r>
            <w:proofErr w:type="gramStart"/>
            <w:r>
              <w:rPr>
                <w:rFonts w:eastAsia="Arial" w:cs="Arial"/>
              </w:rPr>
              <w:t>themes</w:t>
            </w:r>
            <w:proofErr w:type="gramEnd"/>
            <w:r>
              <w:rPr>
                <w:rFonts w:eastAsia="Arial" w:cs="Arial"/>
              </w:rPr>
              <w:t xml:space="preserve">  </w:t>
            </w:r>
          </w:p>
          <w:p w14:paraId="53641F52" w14:textId="77777777" w:rsidR="003C4E6E" w:rsidRDefault="003C4E6E" w:rsidP="008F59C4">
            <w:pPr>
              <w:spacing w:after="0"/>
              <w:rPr>
                <w:rFonts w:eastAsia="Arial" w:cs="Arial"/>
              </w:rPr>
            </w:pPr>
          </w:p>
          <w:p w14:paraId="43125E89" w14:textId="77777777" w:rsidR="003C4E6E" w:rsidRDefault="003C4E6E" w:rsidP="008F59C4">
            <w:pPr>
              <w:spacing w:after="0"/>
              <w:rPr>
                <w:rFonts w:eastAsia="Arial" w:cs="Arial"/>
              </w:rPr>
            </w:pPr>
            <w:r>
              <w:rPr>
                <w:rFonts w:eastAsia="Arial" w:cs="Arial"/>
              </w:rPr>
              <w:t xml:space="preserve">PSII actions will be added and monitored through Datix. </w:t>
            </w:r>
          </w:p>
          <w:p w14:paraId="32C18E21" w14:textId="77777777" w:rsidR="003C4E6E" w:rsidRDefault="003C4E6E" w:rsidP="008F59C4">
            <w:pPr>
              <w:spacing w:after="0"/>
              <w:rPr>
                <w:rFonts w:eastAsia="Arial" w:cs="Arial"/>
              </w:rPr>
            </w:pPr>
          </w:p>
          <w:p w14:paraId="46765218" w14:textId="77777777" w:rsidR="003C4E6E" w:rsidRPr="00446495" w:rsidRDefault="003C4E6E" w:rsidP="008F59C4">
            <w:pPr>
              <w:spacing w:after="0"/>
              <w:rPr>
                <w:rFonts w:eastAsia="Arial" w:cs="Arial"/>
              </w:rPr>
            </w:pPr>
            <w:r>
              <w:rPr>
                <w:rFonts w:eastAsia="Arial" w:cs="Arial"/>
              </w:rPr>
              <w:t>A quarterly PSIRF newsletter will be distributed to include learning from each improvement group</w:t>
            </w:r>
          </w:p>
        </w:tc>
      </w:tr>
      <w:tr w:rsidR="00D06FC8" w:rsidRPr="004B64CE" w14:paraId="538B8914" w14:textId="77777777" w:rsidTr="00AD7D07">
        <w:tc>
          <w:tcPr>
            <w:tcW w:w="993" w:type="dxa"/>
          </w:tcPr>
          <w:p w14:paraId="3A6A034A" w14:textId="77777777" w:rsidR="00D06FC8" w:rsidRPr="00446495" w:rsidRDefault="00D06FC8" w:rsidP="00D06FC8">
            <w:pPr>
              <w:spacing w:after="0" w:line="240" w:lineRule="auto"/>
              <w:rPr>
                <w:rFonts w:cs="Arial"/>
                <w:b/>
                <w:bCs/>
              </w:rPr>
            </w:pPr>
            <w:r w:rsidRPr="00446495">
              <w:rPr>
                <w:rFonts w:cs="Arial"/>
                <w:b/>
                <w:bCs/>
              </w:rPr>
              <w:t>4.</w:t>
            </w:r>
          </w:p>
        </w:tc>
        <w:tc>
          <w:tcPr>
            <w:tcW w:w="2268" w:type="dxa"/>
            <w:tcBorders>
              <w:top w:val="single" w:sz="8" w:space="0" w:color="8EAADB"/>
              <w:left w:val="single" w:sz="8" w:space="0" w:color="8EAADB"/>
              <w:bottom w:val="single" w:sz="8" w:space="0" w:color="8EAADB"/>
              <w:right w:val="single" w:sz="8" w:space="0" w:color="8EAADB"/>
            </w:tcBorders>
          </w:tcPr>
          <w:p w14:paraId="100CFA2A" w14:textId="38D83FD2" w:rsidR="00D06FC8" w:rsidRPr="00446495" w:rsidRDefault="00D06FC8" w:rsidP="00D06FC8">
            <w:pPr>
              <w:spacing w:after="0" w:line="240" w:lineRule="auto"/>
              <w:rPr>
                <w:rFonts w:cs="Arial"/>
              </w:rPr>
            </w:pPr>
            <w:r>
              <w:rPr>
                <w:rFonts w:cs="Arial"/>
              </w:rPr>
              <w:t>Successive minimal harm, self-harm incidents in children and young people within the Trusts secure estate</w:t>
            </w:r>
          </w:p>
        </w:tc>
        <w:tc>
          <w:tcPr>
            <w:tcW w:w="5670" w:type="dxa"/>
            <w:tcBorders>
              <w:top w:val="single" w:sz="8" w:space="0" w:color="8EAADB"/>
              <w:left w:val="nil"/>
              <w:bottom w:val="single" w:sz="8" w:space="0" w:color="8EAADB"/>
              <w:right w:val="single" w:sz="8" w:space="0" w:color="8EAADB"/>
            </w:tcBorders>
          </w:tcPr>
          <w:p w14:paraId="5CE5CD49" w14:textId="57DDA27B" w:rsidR="00D06FC8" w:rsidRPr="00446495" w:rsidRDefault="00D06FC8" w:rsidP="00D06FC8">
            <w:pPr>
              <w:spacing w:after="0"/>
              <w:rPr>
                <w:rFonts w:eastAsia="Arial" w:cs="Arial"/>
                <w:bCs/>
              </w:rPr>
            </w:pPr>
            <w:r>
              <w:rPr>
                <w:rFonts w:cs="Arial"/>
              </w:rPr>
              <w:t xml:space="preserve">After ten consecutive low harm incidents (or less if clinical review suggests repeated incidents equate to moderate harm sooner or continued concerns despite weekly review within secure estate) related to the same young person in a secure estate, a moderate harm </w:t>
            </w:r>
            <w:r>
              <w:rPr>
                <w:rFonts w:cs="Arial"/>
              </w:rPr>
              <w:lastRenderedPageBreak/>
              <w:t xml:space="preserve">incident will be reported for the same young person to assess the longer-term impact on their psychological harm. </w:t>
            </w:r>
          </w:p>
        </w:tc>
        <w:tc>
          <w:tcPr>
            <w:tcW w:w="5953" w:type="dxa"/>
            <w:tcBorders>
              <w:top w:val="single" w:sz="8" w:space="0" w:color="8EAADB"/>
              <w:left w:val="nil"/>
              <w:bottom w:val="single" w:sz="8" w:space="0" w:color="8EAADB"/>
              <w:right w:val="single" w:sz="8" w:space="0" w:color="8EAADB"/>
            </w:tcBorders>
          </w:tcPr>
          <w:p w14:paraId="55879CF9" w14:textId="60D031DF" w:rsidR="00D06FC8" w:rsidRDefault="00D06FC8" w:rsidP="00D06FC8">
            <w:pPr>
              <w:spacing w:before="240"/>
              <w:rPr>
                <w:rFonts w:cs="Arial"/>
              </w:rPr>
            </w:pPr>
            <w:r>
              <w:rPr>
                <w:rFonts w:cs="Arial"/>
              </w:rPr>
              <w:lastRenderedPageBreak/>
              <w:t xml:space="preserve">All self-harm incidents discussed at the weekly secure estate patient safety panel for initial review. This includes HMP staff and LCH Quality Lead. Where assessed as </w:t>
            </w:r>
            <w:r>
              <w:rPr>
                <w:rFonts w:cs="Arial"/>
              </w:rPr>
              <w:lastRenderedPageBreak/>
              <w:t xml:space="preserve">cumulative moderate harm, case will be escalated to LCH Rapid Review. </w:t>
            </w:r>
          </w:p>
          <w:p w14:paraId="74FAC604" w14:textId="4E9DDD57" w:rsidR="00D06FC8" w:rsidRPr="00446495" w:rsidRDefault="00D06FC8" w:rsidP="00D06FC8">
            <w:pPr>
              <w:spacing w:after="0"/>
              <w:rPr>
                <w:rFonts w:eastAsia="Arial" w:cs="Arial"/>
              </w:rPr>
            </w:pPr>
            <w:r>
              <w:rPr>
                <w:rFonts w:cs="Arial"/>
              </w:rPr>
              <w:t>Appropriate learning response will be determined at rapid review meeting</w:t>
            </w:r>
          </w:p>
        </w:tc>
      </w:tr>
      <w:tr w:rsidR="003C4E6E" w:rsidRPr="004B64CE" w14:paraId="07927C30" w14:textId="77777777" w:rsidTr="003C4E6E">
        <w:tc>
          <w:tcPr>
            <w:tcW w:w="993" w:type="dxa"/>
          </w:tcPr>
          <w:p w14:paraId="2B16A766" w14:textId="77777777" w:rsidR="003C4E6E" w:rsidRPr="00446495" w:rsidRDefault="003C4E6E" w:rsidP="008F59C4">
            <w:pPr>
              <w:spacing w:after="0" w:line="240" w:lineRule="auto"/>
              <w:rPr>
                <w:rFonts w:cs="Arial"/>
                <w:b/>
                <w:bCs/>
              </w:rPr>
            </w:pPr>
            <w:r w:rsidRPr="00446495">
              <w:rPr>
                <w:rFonts w:cs="Arial"/>
                <w:b/>
                <w:bCs/>
              </w:rPr>
              <w:lastRenderedPageBreak/>
              <w:t>5.</w:t>
            </w:r>
          </w:p>
        </w:tc>
        <w:tc>
          <w:tcPr>
            <w:tcW w:w="2268" w:type="dxa"/>
          </w:tcPr>
          <w:p w14:paraId="1F20B372" w14:textId="2F6D14EC" w:rsidR="003C4E6E" w:rsidRPr="00446495" w:rsidRDefault="003C4E6E" w:rsidP="008F59C4">
            <w:pPr>
              <w:spacing w:after="0" w:line="240" w:lineRule="auto"/>
              <w:rPr>
                <w:rFonts w:cs="Arial"/>
              </w:rPr>
            </w:pPr>
            <w:r w:rsidRPr="00446495">
              <w:rPr>
                <w:rFonts w:cs="Arial"/>
              </w:rPr>
              <w:t>MRSA bacteraemia</w:t>
            </w:r>
            <w:r>
              <w:rPr>
                <w:rFonts w:cs="Arial"/>
              </w:rPr>
              <w:t xml:space="preserve"> </w:t>
            </w:r>
            <w:r w:rsidRPr="00446495">
              <w:rPr>
                <w:rFonts w:cs="Arial"/>
              </w:rPr>
              <w:t xml:space="preserve">with </w:t>
            </w:r>
            <w:r w:rsidR="00D32244" w:rsidRPr="00D32244">
              <w:rPr>
                <w:rFonts w:cs="Arial"/>
              </w:rPr>
              <w:t>care involvement from LCH or other Leeds healthcare partner</w:t>
            </w:r>
            <w:r w:rsidR="00D32244">
              <w:rPr>
                <w:rFonts w:cs="Arial"/>
              </w:rPr>
              <w:t xml:space="preserve"> (</w:t>
            </w:r>
            <w:r w:rsidR="00D32244" w:rsidRPr="00D32244">
              <w:rPr>
                <w:rFonts w:cs="Arial"/>
                <w:color w:val="FF0000"/>
              </w:rPr>
              <w:t>amended Feb 2024 post pilot PSII investigation</w:t>
            </w:r>
            <w:r w:rsidR="00D32244">
              <w:rPr>
                <w:rFonts w:cs="Arial"/>
              </w:rPr>
              <w:t>)</w:t>
            </w:r>
          </w:p>
        </w:tc>
        <w:tc>
          <w:tcPr>
            <w:tcW w:w="5670" w:type="dxa"/>
          </w:tcPr>
          <w:p w14:paraId="4490E984" w14:textId="77777777" w:rsidR="003C4E6E" w:rsidRPr="00446495" w:rsidRDefault="003C4E6E" w:rsidP="008F59C4">
            <w:pPr>
              <w:spacing w:after="0"/>
              <w:rPr>
                <w:rFonts w:eastAsia="Arial" w:cs="Arial"/>
                <w:bCs/>
              </w:rPr>
            </w:pPr>
            <w:r w:rsidRPr="00446495">
              <w:rPr>
                <w:rFonts w:eastAsia="Arial" w:cs="Arial"/>
                <w:bCs/>
              </w:rPr>
              <w:t xml:space="preserve">A PSII will be completed where a PIR would have been completed </w:t>
            </w:r>
          </w:p>
        </w:tc>
        <w:tc>
          <w:tcPr>
            <w:tcW w:w="5953" w:type="dxa"/>
          </w:tcPr>
          <w:p w14:paraId="065B4346" w14:textId="77777777" w:rsidR="003C4E6E" w:rsidRDefault="003C4E6E" w:rsidP="008F59C4">
            <w:pPr>
              <w:spacing w:after="0"/>
              <w:rPr>
                <w:rFonts w:eastAsia="Arial" w:cs="Arial"/>
              </w:rPr>
            </w:pPr>
            <w:r>
              <w:rPr>
                <w:rFonts w:eastAsia="Arial" w:cs="Arial"/>
              </w:rPr>
              <w:t xml:space="preserve">Learning and improvement to be determined by PSII and added to Datix to track actions. These will also be aligned with a Trust Improvement Plan if </w:t>
            </w:r>
            <w:proofErr w:type="gramStart"/>
            <w:r>
              <w:rPr>
                <w:rFonts w:eastAsia="Arial" w:cs="Arial"/>
              </w:rPr>
              <w:t>relevant</w:t>
            </w:r>
            <w:proofErr w:type="gramEnd"/>
          </w:p>
          <w:p w14:paraId="7630917E" w14:textId="77777777" w:rsidR="003C4E6E" w:rsidRDefault="003C4E6E" w:rsidP="008F59C4">
            <w:pPr>
              <w:spacing w:after="0"/>
              <w:rPr>
                <w:rFonts w:eastAsia="Arial" w:cs="Arial"/>
              </w:rPr>
            </w:pPr>
          </w:p>
          <w:p w14:paraId="404A9066" w14:textId="77777777" w:rsidR="003C4E6E" w:rsidRPr="00446495" w:rsidRDefault="003C4E6E" w:rsidP="008F59C4">
            <w:pPr>
              <w:spacing w:after="0"/>
              <w:rPr>
                <w:rFonts w:eastAsia="Arial" w:cs="Arial"/>
              </w:rPr>
            </w:pPr>
            <w:r>
              <w:rPr>
                <w:rFonts w:eastAsia="Arial" w:cs="Arial"/>
              </w:rPr>
              <w:t xml:space="preserve">Learning will also continue to be shared at IPC Committee with a resultant flash report to QAIG </w:t>
            </w:r>
          </w:p>
        </w:tc>
      </w:tr>
      <w:tr w:rsidR="003C4E6E" w:rsidRPr="004B64CE" w14:paraId="029A1E1F" w14:textId="77777777" w:rsidTr="003C4E6E">
        <w:tc>
          <w:tcPr>
            <w:tcW w:w="14884" w:type="dxa"/>
            <w:gridSpan w:val="4"/>
          </w:tcPr>
          <w:p w14:paraId="19B2FCD4" w14:textId="77777777" w:rsidR="003C4E6E" w:rsidRPr="00446495" w:rsidRDefault="003C4E6E" w:rsidP="008F59C4">
            <w:pPr>
              <w:spacing w:after="0"/>
              <w:rPr>
                <w:rFonts w:eastAsia="Arial" w:cs="Arial"/>
                <w:b/>
                <w:bCs/>
              </w:rPr>
            </w:pPr>
            <w:r w:rsidRPr="00446495">
              <w:rPr>
                <w:rFonts w:eastAsia="Arial" w:cs="Arial"/>
                <w:b/>
                <w:bCs/>
              </w:rPr>
              <w:t>Additional incident management processes:</w:t>
            </w:r>
          </w:p>
        </w:tc>
      </w:tr>
      <w:tr w:rsidR="003C4E6E" w:rsidRPr="004B64CE" w14:paraId="63F10416" w14:textId="77777777" w:rsidTr="003C4E6E">
        <w:tc>
          <w:tcPr>
            <w:tcW w:w="993" w:type="dxa"/>
          </w:tcPr>
          <w:p w14:paraId="6D823B37" w14:textId="77777777" w:rsidR="003C4E6E" w:rsidRPr="00446495" w:rsidRDefault="003C4E6E" w:rsidP="008F59C4">
            <w:pPr>
              <w:spacing w:after="0" w:line="240" w:lineRule="auto"/>
              <w:rPr>
                <w:rFonts w:cs="Arial"/>
                <w:b/>
                <w:bCs/>
              </w:rPr>
            </w:pPr>
            <w:r w:rsidRPr="00446495">
              <w:rPr>
                <w:rFonts w:cs="Arial"/>
                <w:b/>
                <w:bCs/>
              </w:rPr>
              <w:t>6.</w:t>
            </w:r>
          </w:p>
        </w:tc>
        <w:tc>
          <w:tcPr>
            <w:tcW w:w="2268" w:type="dxa"/>
          </w:tcPr>
          <w:p w14:paraId="3826906A" w14:textId="77777777" w:rsidR="003C4E6E" w:rsidRPr="00446495" w:rsidRDefault="003C4E6E" w:rsidP="008F59C4">
            <w:pPr>
              <w:spacing w:after="0" w:line="240" w:lineRule="auto"/>
              <w:rPr>
                <w:rFonts w:cs="Arial"/>
              </w:rPr>
            </w:pPr>
            <w:r w:rsidRPr="00446495">
              <w:rPr>
                <w:rFonts w:cs="Arial"/>
              </w:rPr>
              <w:t>Moderate and major harm incident relating to the clinical triage process in Neighbourhood Teams.</w:t>
            </w:r>
          </w:p>
        </w:tc>
        <w:tc>
          <w:tcPr>
            <w:tcW w:w="5670" w:type="dxa"/>
          </w:tcPr>
          <w:p w14:paraId="3A7EFE69" w14:textId="77777777" w:rsidR="003C4E6E" w:rsidRPr="00446495" w:rsidRDefault="003C4E6E" w:rsidP="008F59C4">
            <w:pPr>
              <w:spacing w:after="0"/>
              <w:rPr>
                <w:rFonts w:eastAsia="Arial" w:cs="Arial"/>
                <w:bCs/>
              </w:rPr>
            </w:pPr>
            <w:r w:rsidRPr="00446495">
              <w:rPr>
                <w:rFonts w:eastAsia="Arial" w:cs="Arial"/>
                <w:bCs/>
              </w:rPr>
              <w:t>Service led improvement plan</w:t>
            </w:r>
            <w:r>
              <w:rPr>
                <w:rFonts w:eastAsia="Arial" w:cs="Arial"/>
                <w:bCs/>
              </w:rPr>
              <w:t>. This is expected to be a short-</w:t>
            </w:r>
            <w:r w:rsidRPr="00E15AF1">
              <w:rPr>
                <w:rFonts w:eastAsia="Arial" w:cs="Arial"/>
                <w:bCs/>
              </w:rPr>
              <w:t>term (&lt;6 months)</w:t>
            </w:r>
            <w:r>
              <w:rPr>
                <w:rFonts w:eastAsia="Arial" w:cs="Arial"/>
                <w:bCs/>
              </w:rPr>
              <w:t xml:space="preserve"> local plan. If recurrent themes and trends continue this will be considered for future iterations of the PSIRP. </w:t>
            </w:r>
          </w:p>
        </w:tc>
        <w:tc>
          <w:tcPr>
            <w:tcW w:w="5953" w:type="dxa"/>
            <w:shd w:val="clear" w:color="auto" w:fill="85B2F6" w:themeFill="background2" w:themeFillShade="E6"/>
          </w:tcPr>
          <w:p w14:paraId="34F2DC0F" w14:textId="77777777" w:rsidR="003C4E6E" w:rsidRPr="00446495" w:rsidRDefault="003C4E6E" w:rsidP="008F59C4">
            <w:pPr>
              <w:spacing w:after="0"/>
              <w:rPr>
                <w:rFonts w:eastAsia="Arial" w:cs="Arial"/>
              </w:rPr>
            </w:pPr>
          </w:p>
        </w:tc>
      </w:tr>
      <w:tr w:rsidR="003C4E6E" w:rsidRPr="004B64CE" w14:paraId="3B5CA3B5" w14:textId="77777777" w:rsidTr="003C4E6E">
        <w:tc>
          <w:tcPr>
            <w:tcW w:w="993" w:type="dxa"/>
          </w:tcPr>
          <w:p w14:paraId="3036BBA0" w14:textId="77777777" w:rsidR="003C4E6E" w:rsidRPr="00446495" w:rsidRDefault="003C4E6E" w:rsidP="008F59C4">
            <w:pPr>
              <w:spacing w:after="0" w:line="240" w:lineRule="auto"/>
              <w:rPr>
                <w:rFonts w:cs="Arial"/>
                <w:b/>
                <w:bCs/>
              </w:rPr>
            </w:pPr>
            <w:r w:rsidRPr="00446495">
              <w:rPr>
                <w:rFonts w:cs="Arial"/>
                <w:b/>
                <w:bCs/>
              </w:rPr>
              <w:t>7.</w:t>
            </w:r>
          </w:p>
        </w:tc>
        <w:tc>
          <w:tcPr>
            <w:tcW w:w="2268" w:type="dxa"/>
          </w:tcPr>
          <w:p w14:paraId="3EC8B7BA" w14:textId="77777777" w:rsidR="003C4E6E" w:rsidRPr="00446495" w:rsidRDefault="003C4E6E" w:rsidP="008F59C4">
            <w:pPr>
              <w:spacing w:after="0" w:line="240" w:lineRule="auto"/>
              <w:rPr>
                <w:rFonts w:cs="Arial"/>
              </w:rPr>
            </w:pPr>
            <w:r w:rsidRPr="00446495">
              <w:rPr>
                <w:rFonts w:cs="Arial"/>
              </w:rPr>
              <w:t xml:space="preserve">Moderate and major harm incidents </w:t>
            </w:r>
            <w:r>
              <w:rPr>
                <w:rFonts w:cs="Arial"/>
              </w:rPr>
              <w:t xml:space="preserve">(outside of priority 1, 2 and 3) </w:t>
            </w:r>
            <w:r w:rsidRPr="00446495">
              <w:rPr>
                <w:rFonts w:cs="Arial"/>
              </w:rPr>
              <w:t>will be reviewed for Patient Safety Incident Investigation consideration.</w:t>
            </w:r>
          </w:p>
        </w:tc>
        <w:tc>
          <w:tcPr>
            <w:tcW w:w="5670" w:type="dxa"/>
          </w:tcPr>
          <w:p w14:paraId="353D22CD" w14:textId="77777777" w:rsidR="003C4E6E" w:rsidRDefault="003C4E6E" w:rsidP="008F59C4">
            <w:pPr>
              <w:spacing w:after="0"/>
              <w:rPr>
                <w:rFonts w:eastAsia="Arial" w:cs="Arial"/>
                <w:bCs/>
              </w:rPr>
            </w:pPr>
            <w:r w:rsidRPr="00446495">
              <w:rPr>
                <w:rFonts w:eastAsia="Arial" w:cs="Arial"/>
                <w:bCs/>
              </w:rPr>
              <w:t xml:space="preserve">Initial </w:t>
            </w:r>
            <w:r>
              <w:rPr>
                <w:rFonts w:eastAsia="Arial" w:cs="Arial"/>
                <w:bCs/>
              </w:rPr>
              <w:t xml:space="preserve">service level </w:t>
            </w:r>
            <w:r w:rsidRPr="00446495">
              <w:rPr>
                <w:rFonts w:eastAsia="Arial" w:cs="Arial"/>
                <w:bCs/>
              </w:rPr>
              <w:t xml:space="preserve">review </w:t>
            </w:r>
            <w:r>
              <w:rPr>
                <w:rFonts w:eastAsia="Arial" w:cs="Arial"/>
                <w:bCs/>
              </w:rPr>
              <w:t xml:space="preserve">/ learning to be cross referenced </w:t>
            </w:r>
            <w:r w:rsidRPr="00446495">
              <w:rPr>
                <w:rFonts w:eastAsia="Arial" w:cs="Arial"/>
                <w:bCs/>
              </w:rPr>
              <w:t>against the Trust Improvement Plans</w:t>
            </w:r>
            <w:r>
              <w:rPr>
                <w:rFonts w:eastAsia="Arial" w:cs="Arial"/>
                <w:bCs/>
              </w:rPr>
              <w:t xml:space="preserve"> and managed in line with principles described in the PSIRP. </w:t>
            </w:r>
          </w:p>
          <w:p w14:paraId="056CF036" w14:textId="77777777" w:rsidR="003C4E6E" w:rsidRDefault="003C4E6E" w:rsidP="008F59C4">
            <w:pPr>
              <w:spacing w:after="0"/>
              <w:rPr>
                <w:rFonts w:eastAsia="Arial" w:cs="Arial"/>
                <w:bCs/>
              </w:rPr>
            </w:pPr>
          </w:p>
          <w:p w14:paraId="3F480402" w14:textId="77777777" w:rsidR="003C4E6E" w:rsidRPr="00446495" w:rsidRDefault="003C4E6E" w:rsidP="008F59C4">
            <w:pPr>
              <w:spacing w:after="0"/>
              <w:rPr>
                <w:rFonts w:eastAsia="Arial" w:cs="Arial"/>
                <w:bCs/>
              </w:rPr>
            </w:pPr>
            <w:r w:rsidRPr="00446495">
              <w:rPr>
                <w:rFonts w:eastAsia="Arial" w:cs="Arial"/>
                <w:bCs/>
              </w:rPr>
              <w:t>A review of the legal requirement for Duty of Candour will be completed for all.</w:t>
            </w:r>
          </w:p>
        </w:tc>
        <w:tc>
          <w:tcPr>
            <w:tcW w:w="5953" w:type="dxa"/>
            <w:shd w:val="clear" w:color="auto" w:fill="85B2F6" w:themeFill="background2" w:themeFillShade="E6"/>
          </w:tcPr>
          <w:p w14:paraId="48CEAA00" w14:textId="77777777" w:rsidR="003C4E6E" w:rsidRPr="00446495" w:rsidRDefault="003C4E6E" w:rsidP="008F59C4">
            <w:pPr>
              <w:spacing w:after="0"/>
              <w:rPr>
                <w:rFonts w:eastAsia="Arial" w:cs="Arial"/>
              </w:rPr>
            </w:pPr>
          </w:p>
        </w:tc>
      </w:tr>
      <w:tr w:rsidR="003C4E6E" w:rsidRPr="004B64CE" w14:paraId="7DCFEAB4" w14:textId="77777777" w:rsidTr="003C4E6E">
        <w:tc>
          <w:tcPr>
            <w:tcW w:w="993" w:type="dxa"/>
          </w:tcPr>
          <w:p w14:paraId="6C012B32" w14:textId="77777777" w:rsidR="003C4E6E" w:rsidRPr="00446495" w:rsidRDefault="003C4E6E" w:rsidP="008F59C4">
            <w:pPr>
              <w:spacing w:after="0" w:line="240" w:lineRule="auto"/>
              <w:rPr>
                <w:rFonts w:cs="Arial"/>
                <w:b/>
                <w:bCs/>
              </w:rPr>
            </w:pPr>
            <w:r>
              <w:rPr>
                <w:rFonts w:cs="Arial"/>
                <w:b/>
                <w:bCs/>
              </w:rPr>
              <w:lastRenderedPageBreak/>
              <w:t xml:space="preserve">8. </w:t>
            </w:r>
          </w:p>
        </w:tc>
        <w:tc>
          <w:tcPr>
            <w:tcW w:w="2268" w:type="dxa"/>
          </w:tcPr>
          <w:p w14:paraId="03E31235" w14:textId="77777777" w:rsidR="003C4E6E" w:rsidRPr="00446495" w:rsidRDefault="003C4E6E" w:rsidP="008F59C4">
            <w:pPr>
              <w:spacing w:after="0" w:line="240" w:lineRule="auto"/>
              <w:rPr>
                <w:rFonts w:cs="Arial"/>
              </w:rPr>
            </w:pPr>
            <w:r w:rsidRPr="00446495">
              <w:rPr>
                <w:rFonts w:cs="Arial"/>
              </w:rPr>
              <w:t>Moderate and major harm incident</w:t>
            </w:r>
            <w:r>
              <w:rPr>
                <w:rFonts w:cs="Arial"/>
              </w:rPr>
              <w:t>s</w:t>
            </w:r>
            <w:r w:rsidRPr="00446495">
              <w:rPr>
                <w:rFonts w:cs="Arial"/>
              </w:rPr>
              <w:t xml:space="preserve"> relating to </w:t>
            </w:r>
            <w:r>
              <w:rPr>
                <w:rFonts w:cs="Arial"/>
              </w:rPr>
              <w:t xml:space="preserve">meatal tears </w:t>
            </w:r>
          </w:p>
        </w:tc>
        <w:tc>
          <w:tcPr>
            <w:tcW w:w="5670" w:type="dxa"/>
          </w:tcPr>
          <w:p w14:paraId="393E243E" w14:textId="77777777" w:rsidR="003C4E6E" w:rsidRPr="00123B95" w:rsidRDefault="003C4E6E" w:rsidP="008F59C4">
            <w:pPr>
              <w:spacing w:after="0"/>
              <w:rPr>
                <w:rFonts w:eastAsia="Arial" w:cs="Arial"/>
                <w:bCs/>
              </w:rPr>
            </w:pPr>
            <w:r w:rsidRPr="00123B95">
              <w:rPr>
                <w:rFonts w:eastAsia="Arial" w:cs="Arial"/>
                <w:bCs/>
              </w:rPr>
              <w:t xml:space="preserve">Any incident with themes corresponding to the </w:t>
            </w:r>
            <w:r>
              <w:rPr>
                <w:rFonts w:eastAsia="Arial" w:cs="Arial"/>
                <w:bCs/>
              </w:rPr>
              <w:t xml:space="preserve">specialist service (CUCS) </w:t>
            </w:r>
            <w:r w:rsidRPr="00123B95">
              <w:rPr>
                <w:rFonts w:eastAsia="Arial" w:cs="Arial"/>
                <w:bCs/>
              </w:rPr>
              <w:t xml:space="preserve">Improvement Plan will be managed via the </w:t>
            </w:r>
            <w:r>
              <w:rPr>
                <w:rFonts w:eastAsia="Arial" w:cs="Arial"/>
                <w:bCs/>
              </w:rPr>
              <w:t xml:space="preserve">ongoing </w:t>
            </w:r>
            <w:r w:rsidRPr="00123B95">
              <w:rPr>
                <w:rFonts w:eastAsia="Arial" w:cs="Arial"/>
                <w:bCs/>
              </w:rPr>
              <w:t xml:space="preserve">improvement </w:t>
            </w:r>
            <w:r>
              <w:rPr>
                <w:rFonts w:eastAsia="Arial" w:cs="Arial"/>
                <w:bCs/>
              </w:rPr>
              <w:t>work</w:t>
            </w:r>
            <w:r w:rsidRPr="00123B95">
              <w:rPr>
                <w:rFonts w:eastAsia="Arial" w:cs="Arial"/>
                <w:bCs/>
              </w:rPr>
              <w:t>.</w:t>
            </w:r>
          </w:p>
          <w:p w14:paraId="20011FB7" w14:textId="77777777" w:rsidR="003C4E6E" w:rsidRPr="00123B95" w:rsidRDefault="003C4E6E" w:rsidP="008F59C4">
            <w:pPr>
              <w:spacing w:after="0"/>
              <w:rPr>
                <w:rFonts w:eastAsia="Arial" w:cs="Arial"/>
                <w:bCs/>
              </w:rPr>
            </w:pPr>
          </w:p>
          <w:p w14:paraId="662A6401" w14:textId="77777777" w:rsidR="003C4E6E" w:rsidRPr="00446495" w:rsidRDefault="003C4E6E" w:rsidP="008F59C4">
            <w:pPr>
              <w:spacing w:after="0"/>
              <w:rPr>
                <w:rFonts w:eastAsia="Arial" w:cs="Arial"/>
                <w:bCs/>
              </w:rPr>
            </w:pPr>
            <w:r w:rsidRPr="00123B95">
              <w:rPr>
                <w:rFonts w:eastAsia="Arial" w:cs="Arial"/>
                <w:bCs/>
              </w:rPr>
              <w:t xml:space="preserve">Any incident with themes not already captured on the Trust Improvement Plan will be managed in line with Priority 7 with an appropriate learning response tool </w:t>
            </w:r>
            <w:proofErr w:type="gramStart"/>
            <w:r w:rsidRPr="00123B95">
              <w:rPr>
                <w:rFonts w:eastAsia="Arial" w:cs="Arial"/>
                <w:bCs/>
              </w:rPr>
              <w:t>e.g.</w:t>
            </w:r>
            <w:proofErr w:type="gramEnd"/>
            <w:r w:rsidRPr="00123B95">
              <w:rPr>
                <w:rFonts w:eastAsia="Arial" w:cs="Arial"/>
                <w:bCs/>
              </w:rPr>
              <w:t xml:space="preserve"> PSII, AAR, SWARM, MDT.</w:t>
            </w:r>
          </w:p>
        </w:tc>
        <w:tc>
          <w:tcPr>
            <w:tcW w:w="5953" w:type="dxa"/>
            <w:shd w:val="clear" w:color="auto" w:fill="85B2F6" w:themeFill="background2" w:themeFillShade="E6"/>
          </w:tcPr>
          <w:p w14:paraId="034B60DF" w14:textId="77777777" w:rsidR="003C4E6E" w:rsidRPr="00446495" w:rsidRDefault="003C4E6E" w:rsidP="008F59C4">
            <w:pPr>
              <w:spacing w:after="0"/>
              <w:rPr>
                <w:rFonts w:eastAsia="Arial" w:cs="Arial"/>
              </w:rPr>
            </w:pPr>
          </w:p>
        </w:tc>
      </w:tr>
      <w:tr w:rsidR="003C4E6E" w:rsidRPr="004B64CE" w14:paraId="02EECE3F" w14:textId="77777777" w:rsidTr="003C4E6E">
        <w:tc>
          <w:tcPr>
            <w:tcW w:w="993" w:type="dxa"/>
          </w:tcPr>
          <w:p w14:paraId="2C6BF53A" w14:textId="77777777" w:rsidR="003C4E6E" w:rsidRPr="00446495" w:rsidRDefault="003C4E6E" w:rsidP="008F59C4">
            <w:pPr>
              <w:spacing w:after="0" w:line="240" w:lineRule="auto"/>
              <w:rPr>
                <w:rFonts w:cs="Arial"/>
                <w:b/>
                <w:bCs/>
              </w:rPr>
            </w:pPr>
            <w:bookmarkStart w:id="4" w:name="_Hlk161671652"/>
            <w:r>
              <w:rPr>
                <w:rFonts w:cs="Arial"/>
                <w:b/>
                <w:bCs/>
              </w:rPr>
              <w:t>9</w:t>
            </w:r>
            <w:r w:rsidRPr="00446495">
              <w:rPr>
                <w:rFonts w:cs="Arial"/>
                <w:b/>
                <w:bCs/>
              </w:rPr>
              <w:t>.</w:t>
            </w:r>
          </w:p>
        </w:tc>
        <w:tc>
          <w:tcPr>
            <w:tcW w:w="2268" w:type="dxa"/>
          </w:tcPr>
          <w:p w14:paraId="686795AE" w14:textId="77777777" w:rsidR="00AA7387" w:rsidRDefault="00AA7387" w:rsidP="008F59C4">
            <w:pPr>
              <w:spacing w:after="0" w:line="240" w:lineRule="auto"/>
              <w:rPr>
                <w:rFonts w:cs="Arial"/>
              </w:rPr>
            </w:pPr>
            <w:r>
              <w:rPr>
                <w:rFonts w:cs="Arial"/>
              </w:rPr>
              <w:t>IPC will undertake a r</w:t>
            </w:r>
            <w:r w:rsidR="003C4E6E" w:rsidRPr="00446495">
              <w:rPr>
                <w:rFonts w:cs="Arial"/>
              </w:rPr>
              <w:t xml:space="preserve">eview of all </w:t>
            </w:r>
            <w:proofErr w:type="gramStart"/>
            <w:r w:rsidR="003C4E6E" w:rsidRPr="00446495">
              <w:rPr>
                <w:rFonts w:cs="Arial"/>
              </w:rPr>
              <w:t>E.coli</w:t>
            </w:r>
            <w:proofErr w:type="gramEnd"/>
            <w:r w:rsidR="003C4E6E" w:rsidRPr="00446495">
              <w:rPr>
                <w:rFonts w:cs="Arial"/>
              </w:rPr>
              <w:t xml:space="preserve"> </w:t>
            </w:r>
            <w:r>
              <w:rPr>
                <w:rFonts w:cs="Arial"/>
              </w:rPr>
              <w:t xml:space="preserve">sepsis / </w:t>
            </w:r>
            <w:r w:rsidR="003C4E6E" w:rsidRPr="00446495">
              <w:rPr>
                <w:rFonts w:cs="Arial"/>
              </w:rPr>
              <w:t>bacteraemia</w:t>
            </w:r>
            <w:r>
              <w:rPr>
                <w:rFonts w:cs="Arial"/>
              </w:rPr>
              <w:t xml:space="preserve"> cases</w:t>
            </w:r>
            <w:r w:rsidR="003C4E6E" w:rsidRPr="00446495">
              <w:rPr>
                <w:rFonts w:cs="Arial"/>
              </w:rPr>
              <w:t xml:space="preserve"> where</w:t>
            </w:r>
            <w:r>
              <w:rPr>
                <w:rFonts w:cs="Arial"/>
              </w:rPr>
              <w:t xml:space="preserve"> the patient has died (Part A of death certificate).</w:t>
            </w:r>
          </w:p>
          <w:p w14:paraId="44AB89F6" w14:textId="57D6F98E" w:rsidR="003C4E6E" w:rsidRPr="00E15AF1" w:rsidRDefault="00AA7387" w:rsidP="008F59C4">
            <w:pPr>
              <w:spacing w:after="0" w:line="240" w:lineRule="auto"/>
              <w:rPr>
                <w:rFonts w:cs="Arial"/>
              </w:rPr>
            </w:pPr>
            <w:r>
              <w:rPr>
                <w:rFonts w:cs="Arial"/>
              </w:rPr>
              <w:t xml:space="preserve">Cases meeting either of the </w:t>
            </w:r>
            <w:r w:rsidR="003C4E6E" w:rsidRPr="00E15AF1">
              <w:rPr>
                <w:rFonts w:cs="Arial"/>
              </w:rPr>
              <w:t>following</w:t>
            </w:r>
            <w:r>
              <w:rPr>
                <w:rFonts w:cs="Arial"/>
              </w:rPr>
              <w:t xml:space="preserve"> criteria will come to rapid review</w:t>
            </w:r>
            <w:r w:rsidR="003C4E6E" w:rsidRPr="00E15AF1">
              <w:rPr>
                <w:rFonts w:cs="Arial"/>
              </w:rPr>
              <w:t xml:space="preserve">: </w:t>
            </w:r>
          </w:p>
          <w:p w14:paraId="03D87EAF" w14:textId="77777777" w:rsidR="003C4E6E" w:rsidRPr="007251BD" w:rsidRDefault="003C4E6E" w:rsidP="008F59C4">
            <w:pPr>
              <w:pStyle w:val="ListParagraph"/>
              <w:numPr>
                <w:ilvl w:val="0"/>
                <w:numId w:val="49"/>
              </w:numPr>
              <w:spacing w:after="0" w:line="240" w:lineRule="auto"/>
              <w:rPr>
                <w:rFonts w:cs="Arial"/>
              </w:rPr>
            </w:pPr>
            <w:r w:rsidRPr="00E15AF1">
              <w:rPr>
                <w:rFonts w:cs="Arial"/>
              </w:rPr>
              <w:t>LCH inpatient</w:t>
            </w:r>
            <w:r w:rsidRPr="007251BD">
              <w:rPr>
                <w:rFonts w:cs="Arial"/>
              </w:rPr>
              <w:t xml:space="preserve">, </w:t>
            </w:r>
          </w:p>
          <w:p w14:paraId="1A1FD9E2" w14:textId="6AF23C56" w:rsidR="003C4E6E" w:rsidRPr="007251BD" w:rsidRDefault="00AA7387" w:rsidP="008F59C4">
            <w:pPr>
              <w:pStyle w:val="ListParagraph"/>
              <w:numPr>
                <w:ilvl w:val="0"/>
                <w:numId w:val="49"/>
              </w:numPr>
              <w:spacing w:after="0" w:line="240" w:lineRule="auto"/>
              <w:rPr>
                <w:rFonts w:cs="Arial"/>
              </w:rPr>
            </w:pPr>
            <w:r>
              <w:rPr>
                <w:rFonts w:cs="Arial"/>
              </w:rPr>
              <w:t>IPC Team i</w:t>
            </w:r>
            <w:r w:rsidR="003C4E6E" w:rsidRPr="007251BD">
              <w:rPr>
                <w:rFonts w:cs="Arial"/>
              </w:rPr>
              <w:t>dentif</w:t>
            </w:r>
            <w:r>
              <w:rPr>
                <w:rFonts w:cs="Arial"/>
              </w:rPr>
              <w:t xml:space="preserve">y a recurrent </w:t>
            </w:r>
            <w:r w:rsidR="003C4E6E" w:rsidRPr="007251BD">
              <w:rPr>
                <w:rFonts w:cs="Arial"/>
              </w:rPr>
              <w:t xml:space="preserve">trend </w:t>
            </w:r>
            <w:r>
              <w:rPr>
                <w:rFonts w:cs="Arial"/>
              </w:rPr>
              <w:t xml:space="preserve">or significant safety concern </w:t>
            </w:r>
          </w:p>
        </w:tc>
        <w:tc>
          <w:tcPr>
            <w:tcW w:w="5670" w:type="dxa"/>
          </w:tcPr>
          <w:p w14:paraId="52F66753" w14:textId="77777777" w:rsidR="003C4E6E" w:rsidRDefault="003C4E6E" w:rsidP="008F59C4">
            <w:pPr>
              <w:spacing w:after="0"/>
              <w:rPr>
                <w:rFonts w:cs="Arial"/>
              </w:rPr>
            </w:pPr>
            <w:r w:rsidRPr="00446495">
              <w:rPr>
                <w:rFonts w:cs="Arial"/>
              </w:rPr>
              <w:t xml:space="preserve">Initial </w:t>
            </w:r>
            <w:r>
              <w:rPr>
                <w:rFonts w:cs="Arial"/>
              </w:rPr>
              <w:t xml:space="preserve">IPC review </w:t>
            </w:r>
            <w:r w:rsidRPr="00446495">
              <w:rPr>
                <w:rFonts w:cs="Arial"/>
              </w:rPr>
              <w:t xml:space="preserve">against the </w:t>
            </w:r>
            <w:r>
              <w:rPr>
                <w:rFonts w:cs="Arial"/>
              </w:rPr>
              <w:t xml:space="preserve">relevant </w:t>
            </w:r>
            <w:r w:rsidRPr="00446495">
              <w:rPr>
                <w:rFonts w:cs="Arial"/>
              </w:rPr>
              <w:t>Trust Improvement Plan</w:t>
            </w:r>
            <w:r>
              <w:rPr>
                <w:rFonts w:cs="Arial"/>
              </w:rPr>
              <w:t xml:space="preserve"> </w:t>
            </w:r>
          </w:p>
          <w:p w14:paraId="51E6CC25" w14:textId="77777777" w:rsidR="003C4E6E" w:rsidRDefault="003C4E6E" w:rsidP="008F59C4">
            <w:pPr>
              <w:spacing w:after="0"/>
              <w:rPr>
                <w:rFonts w:cs="Arial"/>
              </w:rPr>
            </w:pPr>
          </w:p>
          <w:p w14:paraId="1E327DFC" w14:textId="77777777" w:rsidR="003C4E6E" w:rsidRDefault="003C4E6E" w:rsidP="008F59C4">
            <w:pPr>
              <w:spacing w:after="0"/>
              <w:rPr>
                <w:rFonts w:cs="Arial"/>
              </w:rPr>
            </w:pPr>
            <w:r w:rsidRPr="00446495">
              <w:rPr>
                <w:rFonts w:cs="Arial"/>
              </w:rPr>
              <w:t>Where new learning</w:t>
            </w:r>
            <w:r>
              <w:rPr>
                <w:rFonts w:cs="Arial"/>
              </w:rPr>
              <w:t xml:space="preserve"> is</w:t>
            </w:r>
            <w:r w:rsidRPr="00446495">
              <w:rPr>
                <w:rFonts w:cs="Arial"/>
              </w:rPr>
              <w:t xml:space="preserve"> identified, further review will be through a Rapid Review. </w:t>
            </w:r>
          </w:p>
          <w:p w14:paraId="1217FE86" w14:textId="77777777" w:rsidR="003C4E6E" w:rsidRDefault="003C4E6E" w:rsidP="008F59C4">
            <w:pPr>
              <w:spacing w:after="0"/>
              <w:rPr>
                <w:rFonts w:cs="Arial"/>
              </w:rPr>
            </w:pPr>
          </w:p>
          <w:p w14:paraId="3D8C0337" w14:textId="77777777" w:rsidR="003C4E6E" w:rsidRPr="00446495" w:rsidRDefault="003C4E6E" w:rsidP="008F59C4">
            <w:pPr>
              <w:spacing w:after="0"/>
              <w:rPr>
                <w:rFonts w:cs="Arial"/>
              </w:rPr>
            </w:pPr>
            <w:r w:rsidRPr="00446495">
              <w:rPr>
                <w:rFonts w:cs="Arial"/>
              </w:rPr>
              <w:t>A review of legal Duty of Candour will be completed for all.</w:t>
            </w:r>
          </w:p>
        </w:tc>
        <w:tc>
          <w:tcPr>
            <w:tcW w:w="5953" w:type="dxa"/>
            <w:shd w:val="clear" w:color="auto" w:fill="85B2F6" w:themeFill="background2" w:themeFillShade="E6"/>
          </w:tcPr>
          <w:p w14:paraId="3F643916" w14:textId="77777777" w:rsidR="003C4E6E" w:rsidRPr="00446495" w:rsidRDefault="003C4E6E" w:rsidP="008F59C4">
            <w:pPr>
              <w:spacing w:after="0"/>
              <w:rPr>
                <w:rFonts w:eastAsia="Arial" w:cs="Arial"/>
              </w:rPr>
            </w:pPr>
          </w:p>
        </w:tc>
      </w:tr>
      <w:bookmarkEnd w:id="4"/>
      <w:tr w:rsidR="003C4E6E" w:rsidRPr="004B64CE" w14:paraId="0A4C0C5A" w14:textId="77777777" w:rsidTr="003C4E6E">
        <w:tc>
          <w:tcPr>
            <w:tcW w:w="993" w:type="dxa"/>
          </w:tcPr>
          <w:p w14:paraId="1E6B04C8" w14:textId="77777777" w:rsidR="003C4E6E" w:rsidRPr="00446495" w:rsidRDefault="003C4E6E" w:rsidP="008F59C4">
            <w:pPr>
              <w:spacing w:after="0" w:line="240" w:lineRule="auto"/>
              <w:rPr>
                <w:rFonts w:cs="Arial"/>
                <w:b/>
                <w:bCs/>
              </w:rPr>
            </w:pPr>
            <w:r>
              <w:rPr>
                <w:rFonts w:cs="Arial"/>
                <w:b/>
                <w:bCs/>
              </w:rPr>
              <w:t>10</w:t>
            </w:r>
            <w:r w:rsidRPr="00446495">
              <w:rPr>
                <w:rFonts w:cs="Arial"/>
                <w:b/>
                <w:bCs/>
              </w:rPr>
              <w:t>.</w:t>
            </w:r>
          </w:p>
        </w:tc>
        <w:tc>
          <w:tcPr>
            <w:tcW w:w="2268" w:type="dxa"/>
          </w:tcPr>
          <w:p w14:paraId="0AA3217D" w14:textId="77777777" w:rsidR="003C4E6E" w:rsidRPr="00446495" w:rsidRDefault="003C4E6E" w:rsidP="008F59C4">
            <w:pPr>
              <w:spacing w:after="0" w:line="240" w:lineRule="auto"/>
              <w:rPr>
                <w:rFonts w:cs="Arial"/>
              </w:rPr>
            </w:pPr>
            <w:r>
              <w:rPr>
                <w:rFonts w:cs="Arial"/>
              </w:rPr>
              <w:t>N</w:t>
            </w:r>
            <w:r w:rsidRPr="00446495">
              <w:rPr>
                <w:rFonts w:cs="Arial"/>
              </w:rPr>
              <w:t>ear miss</w:t>
            </w:r>
            <w:r>
              <w:rPr>
                <w:rFonts w:cs="Arial"/>
              </w:rPr>
              <w:t xml:space="preserve"> or </w:t>
            </w:r>
            <w:r w:rsidRPr="00446495">
              <w:rPr>
                <w:rFonts w:cs="Arial"/>
              </w:rPr>
              <w:t>no</w:t>
            </w:r>
            <w:r>
              <w:rPr>
                <w:rFonts w:cs="Arial"/>
              </w:rPr>
              <w:t xml:space="preserve"> / </w:t>
            </w:r>
            <w:r w:rsidRPr="00446495">
              <w:rPr>
                <w:rFonts w:cs="Arial"/>
              </w:rPr>
              <w:t xml:space="preserve">low harm incidents identified </w:t>
            </w:r>
            <w:r>
              <w:rPr>
                <w:rFonts w:cs="Arial"/>
              </w:rPr>
              <w:t xml:space="preserve">to be high risk </w:t>
            </w:r>
            <w:r w:rsidRPr="00446495">
              <w:rPr>
                <w:rFonts w:cs="Arial"/>
              </w:rPr>
              <w:t xml:space="preserve">by the team or via the Business </w:t>
            </w:r>
            <w:r w:rsidRPr="00446495">
              <w:rPr>
                <w:rFonts w:cs="Arial"/>
              </w:rPr>
              <w:lastRenderedPageBreak/>
              <w:t>Unit Quality Lead monthly report</w:t>
            </w:r>
          </w:p>
        </w:tc>
        <w:tc>
          <w:tcPr>
            <w:tcW w:w="5670" w:type="dxa"/>
          </w:tcPr>
          <w:p w14:paraId="2F485EB3" w14:textId="77777777" w:rsidR="003C4E6E" w:rsidRPr="00446495" w:rsidRDefault="003C4E6E" w:rsidP="008F59C4">
            <w:pPr>
              <w:spacing w:after="0"/>
              <w:rPr>
                <w:rFonts w:eastAsia="Arial" w:cs="Arial"/>
                <w:bCs/>
              </w:rPr>
            </w:pPr>
            <w:r w:rsidRPr="00446495">
              <w:rPr>
                <w:rFonts w:cs="Arial"/>
              </w:rPr>
              <w:lastRenderedPageBreak/>
              <w:t>Reviewed for learning through a Rapid Review</w:t>
            </w:r>
          </w:p>
        </w:tc>
        <w:tc>
          <w:tcPr>
            <w:tcW w:w="5953" w:type="dxa"/>
            <w:shd w:val="clear" w:color="auto" w:fill="85B2F6" w:themeFill="background2" w:themeFillShade="E6"/>
          </w:tcPr>
          <w:p w14:paraId="0665CBE7" w14:textId="77777777" w:rsidR="003C4E6E" w:rsidRPr="00446495" w:rsidRDefault="003C4E6E" w:rsidP="008F59C4">
            <w:pPr>
              <w:spacing w:after="0"/>
              <w:rPr>
                <w:rFonts w:eastAsia="Arial" w:cs="Arial"/>
              </w:rPr>
            </w:pPr>
          </w:p>
        </w:tc>
      </w:tr>
      <w:tr w:rsidR="003C4E6E" w:rsidRPr="004B64CE" w14:paraId="45E53190" w14:textId="77777777" w:rsidTr="003C4E6E">
        <w:tc>
          <w:tcPr>
            <w:tcW w:w="993" w:type="dxa"/>
          </w:tcPr>
          <w:p w14:paraId="22828B59" w14:textId="77777777" w:rsidR="003C4E6E" w:rsidRPr="00446495" w:rsidRDefault="003C4E6E" w:rsidP="008F59C4">
            <w:pPr>
              <w:spacing w:after="0" w:line="240" w:lineRule="auto"/>
              <w:rPr>
                <w:rFonts w:cs="Arial"/>
                <w:b/>
                <w:bCs/>
              </w:rPr>
            </w:pPr>
            <w:r w:rsidRPr="00446495">
              <w:rPr>
                <w:rFonts w:cs="Arial"/>
                <w:b/>
                <w:bCs/>
              </w:rPr>
              <w:t>1</w:t>
            </w:r>
            <w:r>
              <w:rPr>
                <w:rFonts w:cs="Arial"/>
                <w:b/>
                <w:bCs/>
              </w:rPr>
              <w:t>1</w:t>
            </w:r>
            <w:r w:rsidRPr="00446495">
              <w:rPr>
                <w:rFonts w:cs="Arial"/>
                <w:b/>
                <w:bCs/>
              </w:rPr>
              <w:t>.</w:t>
            </w:r>
          </w:p>
        </w:tc>
        <w:tc>
          <w:tcPr>
            <w:tcW w:w="2268" w:type="dxa"/>
          </w:tcPr>
          <w:p w14:paraId="0528A715" w14:textId="77777777" w:rsidR="003C4E6E" w:rsidRPr="00446495" w:rsidRDefault="003C4E6E" w:rsidP="008F59C4">
            <w:pPr>
              <w:spacing w:after="0" w:line="240" w:lineRule="auto"/>
              <w:rPr>
                <w:rFonts w:cs="Arial"/>
              </w:rPr>
            </w:pPr>
            <w:r w:rsidRPr="00446495">
              <w:rPr>
                <w:rFonts w:cs="Arial"/>
              </w:rPr>
              <w:t xml:space="preserve">Near miss, no and low harm incidents </w:t>
            </w:r>
          </w:p>
        </w:tc>
        <w:tc>
          <w:tcPr>
            <w:tcW w:w="5670" w:type="dxa"/>
          </w:tcPr>
          <w:p w14:paraId="039E8AA1" w14:textId="77777777" w:rsidR="003C4E6E" w:rsidRPr="00446495" w:rsidRDefault="003C4E6E" w:rsidP="008F59C4">
            <w:pPr>
              <w:spacing w:after="0"/>
              <w:rPr>
                <w:rFonts w:eastAsia="Arial" w:cs="Arial"/>
                <w:bCs/>
              </w:rPr>
            </w:pPr>
            <w:r>
              <w:rPr>
                <w:rFonts w:eastAsia="Arial" w:cs="Arial"/>
                <w:bCs/>
              </w:rPr>
              <w:t xml:space="preserve">Service level review and </w:t>
            </w:r>
            <w:r w:rsidRPr="00446495">
              <w:rPr>
                <w:rFonts w:eastAsia="Arial" w:cs="Arial"/>
                <w:bCs/>
              </w:rPr>
              <w:t>response.</w:t>
            </w:r>
          </w:p>
        </w:tc>
        <w:tc>
          <w:tcPr>
            <w:tcW w:w="5953" w:type="dxa"/>
            <w:shd w:val="clear" w:color="auto" w:fill="85B2F6" w:themeFill="background2" w:themeFillShade="E6"/>
          </w:tcPr>
          <w:p w14:paraId="7438E63A" w14:textId="77777777" w:rsidR="003C4E6E" w:rsidRPr="00446495" w:rsidRDefault="003C4E6E" w:rsidP="008F59C4">
            <w:pPr>
              <w:spacing w:after="0"/>
              <w:rPr>
                <w:rFonts w:eastAsia="Arial" w:cs="Arial"/>
              </w:rPr>
            </w:pPr>
          </w:p>
        </w:tc>
      </w:tr>
    </w:tbl>
    <w:p w14:paraId="18C317FB" w14:textId="0F7BC25E" w:rsidR="007F4840" w:rsidRDefault="007F4840" w:rsidP="004B64CE">
      <w:pPr>
        <w:spacing w:after="0"/>
        <w:rPr>
          <w:rFonts w:cs="Arial"/>
          <w:sz w:val="24"/>
          <w:szCs w:val="24"/>
        </w:rPr>
      </w:pPr>
    </w:p>
    <w:p w14:paraId="659D5E4C" w14:textId="77777777" w:rsidR="003C4E6E" w:rsidRDefault="003C4E6E" w:rsidP="004B64CE">
      <w:pPr>
        <w:spacing w:after="0"/>
        <w:rPr>
          <w:rFonts w:eastAsiaTheme="majorEastAsia" w:cs="Arial"/>
          <w:b/>
          <w:bCs/>
          <w:color w:val="374C80" w:themeColor="accent1" w:themeShade="BF"/>
          <w:sz w:val="24"/>
          <w:szCs w:val="24"/>
        </w:rPr>
      </w:pPr>
    </w:p>
    <w:p w14:paraId="305C0EB1" w14:textId="77777777" w:rsidR="003C4E6E" w:rsidRDefault="003C4E6E" w:rsidP="004B64CE">
      <w:pPr>
        <w:spacing w:after="0"/>
        <w:rPr>
          <w:rFonts w:eastAsiaTheme="majorEastAsia" w:cs="Arial"/>
          <w:b/>
          <w:bCs/>
          <w:color w:val="374C80" w:themeColor="accent1" w:themeShade="BF"/>
          <w:sz w:val="24"/>
          <w:szCs w:val="24"/>
        </w:rPr>
        <w:sectPr w:rsidR="003C4E6E" w:rsidSect="003C4E6E">
          <w:pgSz w:w="16838" w:h="11906" w:orient="landscape"/>
          <w:pgMar w:top="1134" w:right="1440" w:bottom="1440" w:left="1440" w:header="709" w:footer="709" w:gutter="0"/>
          <w:cols w:space="708"/>
          <w:docGrid w:linePitch="360"/>
        </w:sectPr>
      </w:pPr>
    </w:p>
    <w:p w14:paraId="5F426515" w14:textId="2F42B09B" w:rsidR="003C4E6E" w:rsidRDefault="003C4E6E" w:rsidP="004B64CE">
      <w:pPr>
        <w:spacing w:after="0"/>
        <w:rPr>
          <w:rFonts w:eastAsiaTheme="majorEastAsia" w:cs="Arial"/>
          <w:b/>
          <w:bCs/>
          <w:color w:val="374C80" w:themeColor="accent1" w:themeShade="BF"/>
          <w:sz w:val="24"/>
          <w:szCs w:val="24"/>
        </w:rPr>
      </w:pPr>
      <w:r>
        <w:rPr>
          <w:rFonts w:eastAsiaTheme="majorEastAsia" w:cs="Arial"/>
          <w:b/>
          <w:bCs/>
          <w:color w:val="374C80" w:themeColor="accent1" w:themeShade="BF"/>
          <w:sz w:val="24"/>
          <w:szCs w:val="24"/>
        </w:rPr>
        <w:lastRenderedPageBreak/>
        <w:t>Appendix 2: Stakeholders</w:t>
      </w:r>
    </w:p>
    <w:p w14:paraId="2C7DFD2E" w14:textId="7866A380" w:rsidR="003C4E6E" w:rsidRDefault="003C4E6E" w:rsidP="004B64CE">
      <w:pPr>
        <w:spacing w:after="0"/>
        <w:rPr>
          <w:rFonts w:eastAsiaTheme="majorEastAsia" w:cs="Arial"/>
          <w:b/>
          <w:bCs/>
          <w:color w:val="374C80" w:themeColor="accent1" w:themeShade="BF"/>
          <w:sz w:val="24"/>
          <w:szCs w:val="24"/>
        </w:rPr>
      </w:pPr>
    </w:p>
    <w:tbl>
      <w:tblPr>
        <w:tblStyle w:val="TableGrid0"/>
        <w:tblpPr w:leftFromText="180" w:rightFromText="180" w:vertAnchor="text" w:horzAnchor="margin" w:tblpY="37"/>
        <w:tblW w:w="9341" w:type="dxa"/>
        <w:tblInd w:w="0" w:type="dxa"/>
        <w:tblCellMar>
          <w:top w:w="21" w:type="dxa"/>
          <w:left w:w="106" w:type="dxa"/>
          <w:right w:w="45" w:type="dxa"/>
        </w:tblCellMar>
        <w:tblLook w:val="04A0" w:firstRow="1" w:lastRow="0" w:firstColumn="1" w:lastColumn="0" w:noHBand="0" w:noVBand="1"/>
      </w:tblPr>
      <w:tblGrid>
        <w:gridCol w:w="3229"/>
        <w:gridCol w:w="6112"/>
      </w:tblGrid>
      <w:tr w:rsidR="003C4E6E" w:rsidRPr="004B64CE" w14:paraId="43BF65E3" w14:textId="77777777" w:rsidTr="008F59C4">
        <w:trPr>
          <w:trHeight w:val="395"/>
        </w:trPr>
        <w:tc>
          <w:tcPr>
            <w:tcW w:w="3229" w:type="dxa"/>
            <w:tcBorders>
              <w:top w:val="double" w:sz="4" w:space="0" w:color="004F5D"/>
              <w:left w:val="double" w:sz="4" w:space="0" w:color="004F5D"/>
              <w:bottom w:val="double" w:sz="4" w:space="0" w:color="004F5D"/>
              <w:right w:val="double" w:sz="4" w:space="0" w:color="004F5D"/>
            </w:tcBorders>
            <w:shd w:val="clear" w:color="auto" w:fill="9ED9D1"/>
          </w:tcPr>
          <w:p w14:paraId="2879DD7D" w14:textId="77777777" w:rsidR="003C4E6E" w:rsidRPr="004B64CE" w:rsidRDefault="003C4E6E" w:rsidP="008F59C4">
            <w:pPr>
              <w:spacing w:line="259" w:lineRule="auto"/>
              <w:rPr>
                <w:rFonts w:cs="Arial"/>
                <w:sz w:val="24"/>
                <w:szCs w:val="24"/>
              </w:rPr>
            </w:pPr>
            <w:r w:rsidRPr="004B64CE">
              <w:rPr>
                <w:rFonts w:cs="Arial"/>
                <w:sz w:val="24"/>
                <w:szCs w:val="24"/>
              </w:rPr>
              <w:t xml:space="preserve">  Stakeholder </w:t>
            </w:r>
          </w:p>
        </w:tc>
        <w:tc>
          <w:tcPr>
            <w:tcW w:w="6112" w:type="dxa"/>
            <w:tcBorders>
              <w:top w:val="double" w:sz="4" w:space="0" w:color="004F5D"/>
              <w:left w:val="double" w:sz="4" w:space="0" w:color="004F5D"/>
              <w:bottom w:val="double" w:sz="4" w:space="0" w:color="004F5D"/>
              <w:right w:val="double" w:sz="4" w:space="0" w:color="004F5D"/>
            </w:tcBorders>
            <w:shd w:val="clear" w:color="auto" w:fill="9ED9D1"/>
          </w:tcPr>
          <w:p w14:paraId="6632BE67" w14:textId="77777777" w:rsidR="003C4E6E" w:rsidRPr="004B64CE" w:rsidRDefault="003C4E6E" w:rsidP="008F59C4">
            <w:pPr>
              <w:spacing w:line="259" w:lineRule="auto"/>
              <w:ind w:left="2"/>
              <w:rPr>
                <w:rFonts w:cs="Arial"/>
                <w:sz w:val="24"/>
                <w:szCs w:val="24"/>
              </w:rPr>
            </w:pPr>
            <w:r w:rsidRPr="004B64CE">
              <w:rPr>
                <w:rFonts w:cs="Arial"/>
                <w:sz w:val="24"/>
                <w:szCs w:val="24"/>
              </w:rPr>
              <w:t xml:space="preserve">Involvement  </w:t>
            </w:r>
          </w:p>
        </w:tc>
      </w:tr>
      <w:tr w:rsidR="003C4E6E" w:rsidRPr="004B64CE" w14:paraId="6E41F51F" w14:textId="77777777" w:rsidTr="008F59C4">
        <w:trPr>
          <w:trHeight w:val="536"/>
        </w:trPr>
        <w:tc>
          <w:tcPr>
            <w:tcW w:w="3229" w:type="dxa"/>
            <w:tcBorders>
              <w:top w:val="double" w:sz="4" w:space="0" w:color="004F5D"/>
              <w:left w:val="double" w:sz="4" w:space="0" w:color="004F5D"/>
              <w:bottom w:val="double" w:sz="4" w:space="0" w:color="004F5D"/>
              <w:right w:val="double" w:sz="4" w:space="0" w:color="004F5D"/>
            </w:tcBorders>
          </w:tcPr>
          <w:p w14:paraId="20B48198" w14:textId="77777777" w:rsidR="003C4E6E" w:rsidRPr="004B64CE" w:rsidRDefault="003C4E6E" w:rsidP="008F59C4">
            <w:pPr>
              <w:spacing w:line="259" w:lineRule="auto"/>
              <w:rPr>
                <w:rFonts w:cs="Arial"/>
                <w:sz w:val="24"/>
                <w:szCs w:val="24"/>
              </w:rPr>
            </w:pPr>
            <w:r w:rsidRPr="004B64CE">
              <w:rPr>
                <w:rFonts w:cs="Arial"/>
                <w:sz w:val="24"/>
                <w:szCs w:val="24"/>
              </w:rPr>
              <w:t xml:space="preserve">Trust board </w:t>
            </w:r>
          </w:p>
        </w:tc>
        <w:tc>
          <w:tcPr>
            <w:tcW w:w="6112" w:type="dxa"/>
            <w:tcBorders>
              <w:top w:val="double" w:sz="4" w:space="0" w:color="004F5D"/>
              <w:left w:val="double" w:sz="4" w:space="0" w:color="004F5D"/>
              <w:bottom w:val="double" w:sz="4" w:space="0" w:color="004F5D"/>
              <w:right w:val="double" w:sz="4" w:space="0" w:color="004F5D"/>
            </w:tcBorders>
          </w:tcPr>
          <w:p w14:paraId="47DC6CAD" w14:textId="77777777" w:rsidR="003C4E6E" w:rsidRPr="004B64CE" w:rsidRDefault="003C4E6E" w:rsidP="008F59C4">
            <w:pPr>
              <w:spacing w:line="259" w:lineRule="auto"/>
              <w:ind w:left="2"/>
              <w:rPr>
                <w:rFonts w:cs="Arial"/>
                <w:sz w:val="24"/>
                <w:szCs w:val="24"/>
              </w:rPr>
            </w:pPr>
            <w:r w:rsidRPr="004B64CE">
              <w:rPr>
                <w:rFonts w:cs="Arial"/>
                <w:sz w:val="24"/>
                <w:szCs w:val="24"/>
              </w:rPr>
              <w:t xml:space="preserve">The proposed patient safety incident profile </w:t>
            </w:r>
            <w:r>
              <w:rPr>
                <w:rFonts w:cs="Arial"/>
                <w:sz w:val="24"/>
                <w:szCs w:val="24"/>
              </w:rPr>
              <w:t xml:space="preserve">(within the PSIRP) </w:t>
            </w:r>
            <w:r w:rsidRPr="004B64CE">
              <w:rPr>
                <w:rFonts w:cs="Arial"/>
                <w:sz w:val="24"/>
                <w:szCs w:val="24"/>
              </w:rPr>
              <w:t xml:space="preserve">was presented to the Trust board for </w:t>
            </w:r>
            <w:r>
              <w:rPr>
                <w:rFonts w:cs="Arial"/>
                <w:sz w:val="24"/>
                <w:szCs w:val="24"/>
              </w:rPr>
              <w:t>comment and ratification</w:t>
            </w:r>
            <w:r w:rsidRPr="004B64CE">
              <w:rPr>
                <w:rFonts w:cs="Arial"/>
                <w:sz w:val="24"/>
                <w:szCs w:val="24"/>
              </w:rPr>
              <w:t xml:space="preserve"> </w:t>
            </w:r>
          </w:p>
        </w:tc>
      </w:tr>
      <w:tr w:rsidR="003C4E6E" w:rsidRPr="004B64CE" w14:paraId="31AEF449" w14:textId="77777777" w:rsidTr="008F59C4">
        <w:trPr>
          <w:trHeight w:val="538"/>
        </w:trPr>
        <w:tc>
          <w:tcPr>
            <w:tcW w:w="3229" w:type="dxa"/>
            <w:tcBorders>
              <w:top w:val="double" w:sz="4" w:space="0" w:color="004F5D"/>
              <w:left w:val="double" w:sz="4" w:space="0" w:color="004F5D"/>
              <w:bottom w:val="double" w:sz="4" w:space="0" w:color="004F5D"/>
              <w:right w:val="double" w:sz="4" w:space="0" w:color="004F5D"/>
            </w:tcBorders>
          </w:tcPr>
          <w:p w14:paraId="7365A304" w14:textId="77777777" w:rsidR="003C4E6E" w:rsidRPr="004B64CE" w:rsidRDefault="003C4E6E" w:rsidP="008F59C4">
            <w:pPr>
              <w:spacing w:line="259" w:lineRule="auto"/>
              <w:rPr>
                <w:rFonts w:cs="Arial"/>
                <w:sz w:val="24"/>
                <w:szCs w:val="24"/>
              </w:rPr>
            </w:pPr>
            <w:r w:rsidRPr="004B64CE">
              <w:rPr>
                <w:rFonts w:cs="Arial"/>
                <w:sz w:val="24"/>
                <w:szCs w:val="24"/>
              </w:rPr>
              <w:t xml:space="preserve">Quality Committee  </w:t>
            </w:r>
          </w:p>
        </w:tc>
        <w:tc>
          <w:tcPr>
            <w:tcW w:w="6112" w:type="dxa"/>
            <w:tcBorders>
              <w:top w:val="double" w:sz="4" w:space="0" w:color="004F5D"/>
              <w:left w:val="double" w:sz="4" w:space="0" w:color="004F5D"/>
              <w:bottom w:val="double" w:sz="4" w:space="0" w:color="004F5D"/>
              <w:right w:val="double" w:sz="4" w:space="0" w:color="004F5D"/>
            </w:tcBorders>
          </w:tcPr>
          <w:p w14:paraId="1D2BBAEE" w14:textId="77777777" w:rsidR="003C4E6E" w:rsidRPr="004B64CE" w:rsidRDefault="003C4E6E" w:rsidP="008F59C4">
            <w:pPr>
              <w:spacing w:line="259" w:lineRule="auto"/>
              <w:ind w:left="2" w:hanging="126"/>
              <w:rPr>
                <w:rFonts w:cs="Arial"/>
                <w:sz w:val="24"/>
                <w:szCs w:val="24"/>
              </w:rPr>
            </w:pPr>
            <w:r w:rsidRPr="004B64CE">
              <w:rPr>
                <w:rFonts w:cs="Arial"/>
                <w:sz w:val="24"/>
                <w:szCs w:val="24"/>
              </w:rPr>
              <w:t xml:space="preserve"> The proposed patient safety incident profile </w:t>
            </w:r>
            <w:r>
              <w:rPr>
                <w:rFonts w:cs="Arial"/>
                <w:sz w:val="24"/>
                <w:szCs w:val="24"/>
              </w:rPr>
              <w:t xml:space="preserve">(within the PSIRP) </w:t>
            </w:r>
            <w:r w:rsidRPr="004B64CE">
              <w:rPr>
                <w:rFonts w:cs="Arial"/>
                <w:sz w:val="24"/>
                <w:szCs w:val="24"/>
              </w:rPr>
              <w:t xml:space="preserve">was presented to the Quality Committee for </w:t>
            </w:r>
            <w:r>
              <w:rPr>
                <w:rFonts w:cs="Arial"/>
                <w:sz w:val="24"/>
                <w:szCs w:val="24"/>
              </w:rPr>
              <w:t xml:space="preserve">comment </w:t>
            </w:r>
            <w:r w:rsidRPr="004B64CE">
              <w:rPr>
                <w:rFonts w:cs="Arial"/>
                <w:sz w:val="24"/>
                <w:szCs w:val="24"/>
              </w:rPr>
              <w:t xml:space="preserve">and approval </w:t>
            </w:r>
          </w:p>
        </w:tc>
      </w:tr>
      <w:tr w:rsidR="003C4E6E" w:rsidRPr="004B64CE" w14:paraId="3C25970C" w14:textId="77777777" w:rsidTr="008F59C4">
        <w:trPr>
          <w:trHeight w:val="790"/>
        </w:trPr>
        <w:tc>
          <w:tcPr>
            <w:tcW w:w="3229" w:type="dxa"/>
            <w:tcBorders>
              <w:top w:val="double" w:sz="4" w:space="0" w:color="004F5D"/>
              <w:left w:val="double" w:sz="4" w:space="0" w:color="004F5D"/>
              <w:bottom w:val="double" w:sz="4" w:space="0" w:color="004F5D"/>
              <w:right w:val="double" w:sz="4" w:space="0" w:color="004F5D"/>
            </w:tcBorders>
          </w:tcPr>
          <w:p w14:paraId="1FDE545C" w14:textId="77777777" w:rsidR="003C4E6E" w:rsidRPr="004B64CE" w:rsidRDefault="003C4E6E" w:rsidP="008F59C4">
            <w:pPr>
              <w:spacing w:line="259" w:lineRule="auto"/>
              <w:rPr>
                <w:rFonts w:cs="Arial"/>
                <w:sz w:val="24"/>
                <w:szCs w:val="24"/>
              </w:rPr>
            </w:pPr>
            <w:r w:rsidRPr="004B64CE">
              <w:rPr>
                <w:rFonts w:cs="Arial"/>
                <w:sz w:val="24"/>
                <w:szCs w:val="24"/>
              </w:rPr>
              <w:t xml:space="preserve">Patient Safety Strategy Implementation </w:t>
            </w:r>
            <w:proofErr w:type="gramStart"/>
            <w:r w:rsidRPr="004B64CE">
              <w:rPr>
                <w:rFonts w:cs="Arial"/>
                <w:sz w:val="24"/>
                <w:szCs w:val="24"/>
              </w:rPr>
              <w:t xml:space="preserve">Group  </w:t>
            </w:r>
            <w:r>
              <w:rPr>
                <w:rFonts w:cs="Arial"/>
                <w:sz w:val="24"/>
                <w:szCs w:val="24"/>
              </w:rPr>
              <w:t>(</w:t>
            </w:r>
            <w:proofErr w:type="gramEnd"/>
            <w:r>
              <w:rPr>
                <w:rFonts w:cs="Arial"/>
                <w:sz w:val="24"/>
                <w:szCs w:val="24"/>
              </w:rPr>
              <w:t>PSSIG)</w:t>
            </w:r>
          </w:p>
        </w:tc>
        <w:tc>
          <w:tcPr>
            <w:tcW w:w="6112" w:type="dxa"/>
            <w:tcBorders>
              <w:top w:val="double" w:sz="4" w:space="0" w:color="004F5D"/>
              <w:left w:val="double" w:sz="4" w:space="0" w:color="004F5D"/>
              <w:bottom w:val="double" w:sz="4" w:space="0" w:color="004F5D"/>
              <w:right w:val="double" w:sz="4" w:space="0" w:color="004F5D"/>
            </w:tcBorders>
          </w:tcPr>
          <w:p w14:paraId="2F571DF9" w14:textId="77777777" w:rsidR="003C4E6E" w:rsidRPr="004B64CE" w:rsidRDefault="003C4E6E" w:rsidP="008F59C4">
            <w:pPr>
              <w:spacing w:line="259" w:lineRule="auto"/>
              <w:ind w:left="2" w:right="59"/>
              <w:rPr>
                <w:rFonts w:cs="Arial"/>
                <w:sz w:val="24"/>
                <w:szCs w:val="24"/>
              </w:rPr>
            </w:pPr>
            <w:r w:rsidRPr="004B64CE">
              <w:rPr>
                <w:rFonts w:cs="Arial"/>
                <w:sz w:val="24"/>
                <w:szCs w:val="24"/>
              </w:rPr>
              <w:t xml:space="preserve">The proposed patient safety incident profile </w:t>
            </w:r>
            <w:r>
              <w:rPr>
                <w:rFonts w:cs="Arial"/>
                <w:sz w:val="24"/>
                <w:szCs w:val="24"/>
              </w:rPr>
              <w:t xml:space="preserve">(within the PSIRP) </w:t>
            </w:r>
            <w:r w:rsidRPr="004B64CE">
              <w:rPr>
                <w:rFonts w:cs="Arial"/>
                <w:sz w:val="24"/>
                <w:szCs w:val="24"/>
              </w:rPr>
              <w:t>was presented to the PSS</w:t>
            </w:r>
            <w:r>
              <w:rPr>
                <w:rFonts w:cs="Arial"/>
                <w:sz w:val="24"/>
                <w:szCs w:val="24"/>
              </w:rPr>
              <w:t>I</w:t>
            </w:r>
            <w:r w:rsidRPr="004B64CE">
              <w:rPr>
                <w:rFonts w:cs="Arial"/>
                <w:sz w:val="24"/>
                <w:szCs w:val="24"/>
              </w:rPr>
              <w:t xml:space="preserve">G for feedback and discussion  </w:t>
            </w:r>
          </w:p>
        </w:tc>
      </w:tr>
      <w:tr w:rsidR="003C4E6E" w:rsidRPr="004B64CE" w14:paraId="733EFFA4" w14:textId="77777777" w:rsidTr="008F59C4">
        <w:trPr>
          <w:trHeight w:val="788"/>
        </w:trPr>
        <w:tc>
          <w:tcPr>
            <w:tcW w:w="3229" w:type="dxa"/>
            <w:tcBorders>
              <w:top w:val="double" w:sz="4" w:space="0" w:color="004F5D"/>
              <w:left w:val="double" w:sz="4" w:space="0" w:color="004F5D"/>
              <w:bottom w:val="double" w:sz="4" w:space="0" w:color="004F5D"/>
              <w:right w:val="double" w:sz="4" w:space="0" w:color="004F5D"/>
            </w:tcBorders>
          </w:tcPr>
          <w:p w14:paraId="09208D0A" w14:textId="77777777" w:rsidR="003C4E6E" w:rsidRPr="004B64CE" w:rsidRDefault="003C4E6E" w:rsidP="008F59C4">
            <w:pPr>
              <w:spacing w:line="259" w:lineRule="auto"/>
              <w:ind w:right="21"/>
              <w:rPr>
                <w:rFonts w:cs="Arial"/>
                <w:sz w:val="24"/>
                <w:szCs w:val="24"/>
              </w:rPr>
            </w:pPr>
            <w:r w:rsidRPr="004B64CE">
              <w:rPr>
                <w:rFonts w:cs="Arial"/>
                <w:sz w:val="24"/>
                <w:szCs w:val="24"/>
              </w:rPr>
              <w:t xml:space="preserve">Clinical Business Unit Senior Leadership Teams  </w:t>
            </w:r>
          </w:p>
        </w:tc>
        <w:tc>
          <w:tcPr>
            <w:tcW w:w="6112" w:type="dxa"/>
            <w:tcBorders>
              <w:top w:val="double" w:sz="4" w:space="0" w:color="004F5D"/>
              <w:left w:val="double" w:sz="4" w:space="0" w:color="004F5D"/>
              <w:bottom w:val="double" w:sz="4" w:space="0" w:color="004F5D"/>
              <w:right w:val="double" w:sz="4" w:space="0" w:color="004F5D"/>
            </w:tcBorders>
          </w:tcPr>
          <w:p w14:paraId="40CF7EC4" w14:textId="77777777" w:rsidR="003C4E6E" w:rsidRPr="004B64CE" w:rsidRDefault="003C4E6E" w:rsidP="008F59C4">
            <w:pPr>
              <w:spacing w:line="259" w:lineRule="auto"/>
              <w:ind w:left="2" w:right="59"/>
              <w:rPr>
                <w:rFonts w:cs="Arial"/>
                <w:sz w:val="24"/>
                <w:szCs w:val="24"/>
              </w:rPr>
            </w:pPr>
            <w:r w:rsidRPr="004B64CE">
              <w:rPr>
                <w:rFonts w:cs="Arial"/>
                <w:sz w:val="24"/>
                <w:szCs w:val="24"/>
              </w:rPr>
              <w:t xml:space="preserve">The proposed patient safety incident profile </w:t>
            </w:r>
            <w:r>
              <w:rPr>
                <w:rFonts w:cs="Arial"/>
                <w:sz w:val="24"/>
                <w:szCs w:val="24"/>
              </w:rPr>
              <w:t xml:space="preserve">(within the PSIRP) </w:t>
            </w:r>
            <w:r w:rsidRPr="004B64CE">
              <w:rPr>
                <w:rFonts w:cs="Arial"/>
                <w:sz w:val="24"/>
                <w:szCs w:val="24"/>
              </w:rPr>
              <w:t>was shared with local clinical leads for comment</w:t>
            </w:r>
          </w:p>
        </w:tc>
      </w:tr>
      <w:tr w:rsidR="003C4E6E" w:rsidRPr="004B64CE" w14:paraId="403EDDD8" w14:textId="77777777" w:rsidTr="008F59C4">
        <w:trPr>
          <w:trHeight w:val="790"/>
        </w:trPr>
        <w:tc>
          <w:tcPr>
            <w:tcW w:w="3229" w:type="dxa"/>
            <w:tcBorders>
              <w:top w:val="double" w:sz="4" w:space="0" w:color="004F5D"/>
              <w:left w:val="double" w:sz="4" w:space="0" w:color="004F5D"/>
              <w:bottom w:val="double" w:sz="4" w:space="0" w:color="004F5D"/>
              <w:right w:val="double" w:sz="4" w:space="0" w:color="004F5D"/>
            </w:tcBorders>
          </w:tcPr>
          <w:p w14:paraId="52E219A2" w14:textId="77777777" w:rsidR="003C4E6E" w:rsidRPr="004B64CE" w:rsidRDefault="003C4E6E" w:rsidP="008F59C4">
            <w:pPr>
              <w:spacing w:line="259" w:lineRule="auto"/>
              <w:rPr>
                <w:rFonts w:cs="Arial"/>
                <w:sz w:val="24"/>
                <w:szCs w:val="24"/>
              </w:rPr>
            </w:pPr>
            <w:r w:rsidRPr="004B64CE">
              <w:rPr>
                <w:rFonts w:cs="Arial"/>
                <w:sz w:val="24"/>
                <w:szCs w:val="24"/>
              </w:rPr>
              <w:t xml:space="preserve">Front line staff </w:t>
            </w:r>
          </w:p>
        </w:tc>
        <w:tc>
          <w:tcPr>
            <w:tcW w:w="6112" w:type="dxa"/>
            <w:tcBorders>
              <w:top w:val="double" w:sz="4" w:space="0" w:color="004F5D"/>
              <w:left w:val="double" w:sz="4" w:space="0" w:color="004F5D"/>
              <w:bottom w:val="double" w:sz="4" w:space="0" w:color="004F5D"/>
              <w:right w:val="double" w:sz="4" w:space="0" w:color="004F5D"/>
            </w:tcBorders>
          </w:tcPr>
          <w:p w14:paraId="46FE3AC9" w14:textId="77777777" w:rsidR="003C4E6E" w:rsidRDefault="003C4E6E" w:rsidP="008F59C4">
            <w:pPr>
              <w:spacing w:line="259" w:lineRule="auto"/>
              <w:ind w:left="2" w:right="60"/>
              <w:rPr>
                <w:rFonts w:cs="Arial"/>
                <w:sz w:val="24"/>
                <w:szCs w:val="24"/>
              </w:rPr>
            </w:pPr>
            <w:r w:rsidRPr="004B64CE">
              <w:rPr>
                <w:rFonts w:cs="Arial"/>
                <w:sz w:val="24"/>
                <w:szCs w:val="24"/>
              </w:rPr>
              <w:t>The patient safety specialists shared the patient safety incident profile with front line staff for comment</w:t>
            </w:r>
            <w:r>
              <w:rPr>
                <w:rFonts w:cs="Arial"/>
                <w:sz w:val="24"/>
                <w:szCs w:val="24"/>
              </w:rPr>
              <w:t>.</w:t>
            </w:r>
          </w:p>
          <w:p w14:paraId="2222102E" w14:textId="77777777" w:rsidR="003C4E6E" w:rsidRDefault="003C4E6E" w:rsidP="008F59C4">
            <w:pPr>
              <w:spacing w:line="259" w:lineRule="auto"/>
              <w:ind w:left="2" w:right="60"/>
              <w:rPr>
                <w:rFonts w:cs="Arial"/>
                <w:sz w:val="24"/>
                <w:szCs w:val="24"/>
              </w:rPr>
            </w:pPr>
            <w:r>
              <w:rPr>
                <w:rFonts w:cs="Arial"/>
                <w:sz w:val="24"/>
                <w:szCs w:val="24"/>
              </w:rPr>
              <w:t xml:space="preserve">Staff feedback was also obtained through conversations at third sector </w:t>
            </w:r>
            <w:proofErr w:type="gramStart"/>
            <w:r>
              <w:rPr>
                <w:rFonts w:cs="Arial"/>
                <w:sz w:val="24"/>
                <w:szCs w:val="24"/>
              </w:rPr>
              <w:t>event</w:t>
            </w:r>
            <w:proofErr w:type="gramEnd"/>
            <w:r>
              <w:rPr>
                <w:rFonts w:cs="Arial"/>
                <w:sz w:val="24"/>
                <w:szCs w:val="24"/>
              </w:rPr>
              <w:t xml:space="preserve"> </w:t>
            </w:r>
          </w:p>
          <w:p w14:paraId="0FD3826A" w14:textId="77777777" w:rsidR="003C4E6E" w:rsidRPr="004B64CE" w:rsidRDefault="003C4E6E" w:rsidP="008F59C4">
            <w:pPr>
              <w:spacing w:line="259" w:lineRule="auto"/>
              <w:ind w:left="2" w:right="60"/>
              <w:rPr>
                <w:rFonts w:cs="Arial"/>
                <w:sz w:val="24"/>
                <w:szCs w:val="24"/>
              </w:rPr>
            </w:pPr>
            <w:r>
              <w:rPr>
                <w:rFonts w:cs="Arial"/>
                <w:sz w:val="24"/>
                <w:szCs w:val="24"/>
              </w:rPr>
              <w:t xml:space="preserve">Q&amp;A </w:t>
            </w:r>
            <w:proofErr w:type="gramStart"/>
            <w:r>
              <w:rPr>
                <w:rFonts w:cs="Arial"/>
                <w:sz w:val="24"/>
                <w:szCs w:val="24"/>
              </w:rPr>
              <w:t>drop in</w:t>
            </w:r>
            <w:proofErr w:type="gramEnd"/>
            <w:r>
              <w:rPr>
                <w:rFonts w:cs="Arial"/>
                <w:sz w:val="24"/>
                <w:szCs w:val="24"/>
              </w:rPr>
              <w:t xml:space="preserve"> sessions were set up as all user invites </w:t>
            </w:r>
          </w:p>
        </w:tc>
      </w:tr>
      <w:tr w:rsidR="003C4E6E" w:rsidRPr="004B64CE" w14:paraId="48BE2109" w14:textId="77777777" w:rsidTr="008F59C4">
        <w:trPr>
          <w:trHeight w:val="1296"/>
        </w:trPr>
        <w:tc>
          <w:tcPr>
            <w:tcW w:w="3229" w:type="dxa"/>
            <w:tcBorders>
              <w:top w:val="double" w:sz="4" w:space="0" w:color="004F5D"/>
              <w:left w:val="double" w:sz="4" w:space="0" w:color="004F5D"/>
              <w:bottom w:val="double" w:sz="4" w:space="0" w:color="004F5D"/>
              <w:right w:val="double" w:sz="4" w:space="0" w:color="004F5D"/>
            </w:tcBorders>
          </w:tcPr>
          <w:p w14:paraId="46D1904B" w14:textId="77777777" w:rsidR="003C4E6E" w:rsidRPr="004B64CE" w:rsidRDefault="003C4E6E" w:rsidP="008F59C4">
            <w:pPr>
              <w:spacing w:line="259" w:lineRule="auto"/>
              <w:rPr>
                <w:rFonts w:cs="Arial"/>
                <w:sz w:val="24"/>
                <w:szCs w:val="24"/>
              </w:rPr>
            </w:pPr>
            <w:r w:rsidRPr="004B64CE">
              <w:rPr>
                <w:rFonts w:cs="Arial"/>
                <w:sz w:val="24"/>
                <w:szCs w:val="24"/>
              </w:rPr>
              <w:t xml:space="preserve">Patient safety partners </w:t>
            </w:r>
          </w:p>
        </w:tc>
        <w:tc>
          <w:tcPr>
            <w:tcW w:w="6112" w:type="dxa"/>
            <w:tcBorders>
              <w:top w:val="double" w:sz="4" w:space="0" w:color="004F5D"/>
              <w:left w:val="double" w:sz="4" w:space="0" w:color="004F5D"/>
              <w:bottom w:val="double" w:sz="4" w:space="0" w:color="004F5D"/>
              <w:right w:val="double" w:sz="4" w:space="0" w:color="004F5D"/>
            </w:tcBorders>
          </w:tcPr>
          <w:p w14:paraId="70996B81" w14:textId="77777777" w:rsidR="003C4E6E" w:rsidRPr="004B64CE" w:rsidRDefault="003C4E6E" w:rsidP="008F59C4">
            <w:pPr>
              <w:spacing w:line="259" w:lineRule="auto"/>
              <w:ind w:left="2" w:right="60"/>
              <w:rPr>
                <w:rFonts w:cs="Arial"/>
                <w:sz w:val="24"/>
                <w:szCs w:val="24"/>
              </w:rPr>
            </w:pPr>
            <w:r w:rsidRPr="004B64CE">
              <w:rPr>
                <w:rFonts w:cs="Arial"/>
                <w:sz w:val="24"/>
                <w:szCs w:val="24"/>
              </w:rPr>
              <w:t xml:space="preserve">Patient safety partners were involved via their membership of </w:t>
            </w:r>
            <w:r>
              <w:rPr>
                <w:rFonts w:cs="Arial"/>
                <w:sz w:val="24"/>
                <w:szCs w:val="24"/>
              </w:rPr>
              <w:t>T</w:t>
            </w:r>
            <w:r w:rsidRPr="004B64CE">
              <w:rPr>
                <w:rFonts w:cs="Arial"/>
                <w:sz w:val="24"/>
                <w:szCs w:val="24"/>
              </w:rPr>
              <w:t xml:space="preserve">he Patient Safety Strategy Implementation Group. They were also specifically asked to comment on the safety incident profile and the draft Patient Safety Incident Response Policy and plan.  </w:t>
            </w:r>
          </w:p>
        </w:tc>
      </w:tr>
      <w:tr w:rsidR="003C4E6E" w:rsidRPr="004B64CE" w14:paraId="39235E52" w14:textId="77777777" w:rsidTr="008F59C4">
        <w:trPr>
          <w:trHeight w:val="527"/>
        </w:trPr>
        <w:tc>
          <w:tcPr>
            <w:tcW w:w="3229" w:type="dxa"/>
            <w:tcBorders>
              <w:top w:val="double" w:sz="4" w:space="0" w:color="004F5D"/>
              <w:left w:val="double" w:sz="4" w:space="0" w:color="004F5D"/>
              <w:bottom w:val="double" w:sz="4" w:space="0" w:color="004F5D"/>
              <w:right w:val="double" w:sz="4" w:space="0" w:color="004F5D"/>
            </w:tcBorders>
          </w:tcPr>
          <w:p w14:paraId="410622C6" w14:textId="77777777" w:rsidR="003C4E6E" w:rsidRPr="004B64CE" w:rsidRDefault="003C4E6E" w:rsidP="008F59C4">
            <w:pPr>
              <w:spacing w:line="259" w:lineRule="auto"/>
              <w:rPr>
                <w:rFonts w:cs="Arial"/>
                <w:sz w:val="24"/>
                <w:szCs w:val="24"/>
              </w:rPr>
            </w:pPr>
            <w:r w:rsidRPr="004B64CE">
              <w:rPr>
                <w:rFonts w:cs="Arial"/>
                <w:sz w:val="24"/>
                <w:szCs w:val="24"/>
              </w:rPr>
              <w:t>Third Sector Partners</w:t>
            </w:r>
          </w:p>
        </w:tc>
        <w:tc>
          <w:tcPr>
            <w:tcW w:w="6112" w:type="dxa"/>
            <w:tcBorders>
              <w:top w:val="double" w:sz="4" w:space="0" w:color="004F5D"/>
              <w:left w:val="double" w:sz="4" w:space="0" w:color="004F5D"/>
              <w:bottom w:val="double" w:sz="4" w:space="0" w:color="004F5D"/>
              <w:right w:val="double" w:sz="4" w:space="0" w:color="004F5D"/>
            </w:tcBorders>
          </w:tcPr>
          <w:p w14:paraId="2370CADE" w14:textId="77777777" w:rsidR="003C4E6E" w:rsidRPr="004B64CE" w:rsidRDefault="003C4E6E" w:rsidP="008F59C4">
            <w:pPr>
              <w:spacing w:line="259" w:lineRule="auto"/>
              <w:ind w:left="2" w:right="60"/>
              <w:rPr>
                <w:rFonts w:cs="Arial"/>
                <w:sz w:val="24"/>
                <w:szCs w:val="24"/>
              </w:rPr>
            </w:pPr>
            <w:r w:rsidRPr="004B64CE">
              <w:rPr>
                <w:rFonts w:cs="Arial"/>
                <w:sz w:val="24"/>
                <w:szCs w:val="24"/>
              </w:rPr>
              <w:t xml:space="preserve">Our proposed </w:t>
            </w:r>
            <w:r>
              <w:rPr>
                <w:rFonts w:cs="Arial"/>
                <w:sz w:val="24"/>
                <w:szCs w:val="24"/>
              </w:rPr>
              <w:t>local and national safety priorities were</w:t>
            </w:r>
            <w:r w:rsidRPr="004B64CE">
              <w:rPr>
                <w:rFonts w:cs="Arial"/>
                <w:sz w:val="24"/>
                <w:szCs w:val="24"/>
              </w:rPr>
              <w:t xml:space="preserve"> shared for comment </w:t>
            </w:r>
            <w:r>
              <w:rPr>
                <w:rFonts w:cs="Arial"/>
                <w:sz w:val="24"/>
                <w:szCs w:val="24"/>
              </w:rPr>
              <w:t xml:space="preserve">through </w:t>
            </w:r>
            <w:r w:rsidRPr="004B64CE">
              <w:rPr>
                <w:rFonts w:cs="Arial"/>
                <w:sz w:val="24"/>
                <w:szCs w:val="24"/>
              </w:rPr>
              <w:t>our Third Sector Partner Groups</w:t>
            </w:r>
            <w:r>
              <w:rPr>
                <w:rFonts w:cs="Arial"/>
                <w:sz w:val="24"/>
                <w:szCs w:val="24"/>
              </w:rPr>
              <w:t xml:space="preserve"> and through the LCH engagement champions forum</w:t>
            </w:r>
            <w:r w:rsidRPr="004B64CE">
              <w:rPr>
                <w:rFonts w:cs="Arial"/>
                <w:sz w:val="24"/>
                <w:szCs w:val="24"/>
              </w:rPr>
              <w:t>.</w:t>
            </w:r>
          </w:p>
        </w:tc>
      </w:tr>
      <w:tr w:rsidR="003C4E6E" w:rsidRPr="004B64CE" w14:paraId="13588995" w14:textId="77777777" w:rsidTr="008F59C4">
        <w:trPr>
          <w:trHeight w:val="527"/>
        </w:trPr>
        <w:tc>
          <w:tcPr>
            <w:tcW w:w="3229" w:type="dxa"/>
            <w:tcBorders>
              <w:top w:val="double" w:sz="4" w:space="0" w:color="004F5D"/>
              <w:left w:val="double" w:sz="4" w:space="0" w:color="004F5D"/>
              <w:bottom w:val="double" w:sz="4" w:space="0" w:color="004F5D"/>
              <w:right w:val="double" w:sz="4" w:space="0" w:color="004F5D"/>
            </w:tcBorders>
          </w:tcPr>
          <w:p w14:paraId="1CE6480F" w14:textId="77777777" w:rsidR="003C4E6E" w:rsidRPr="004B64CE" w:rsidRDefault="003C4E6E" w:rsidP="008F59C4">
            <w:pPr>
              <w:spacing w:line="259" w:lineRule="auto"/>
              <w:rPr>
                <w:rFonts w:cs="Arial"/>
                <w:sz w:val="24"/>
                <w:szCs w:val="24"/>
              </w:rPr>
            </w:pPr>
            <w:r>
              <w:rPr>
                <w:rFonts w:cs="Arial"/>
                <w:sz w:val="24"/>
                <w:szCs w:val="24"/>
              </w:rPr>
              <w:t xml:space="preserve">Healthwatch Leeds / Forum Central </w:t>
            </w:r>
          </w:p>
        </w:tc>
        <w:tc>
          <w:tcPr>
            <w:tcW w:w="6112" w:type="dxa"/>
            <w:tcBorders>
              <w:top w:val="double" w:sz="4" w:space="0" w:color="004F5D"/>
              <w:left w:val="double" w:sz="4" w:space="0" w:color="004F5D"/>
              <w:bottom w:val="double" w:sz="4" w:space="0" w:color="004F5D"/>
              <w:right w:val="double" w:sz="4" w:space="0" w:color="004F5D"/>
            </w:tcBorders>
          </w:tcPr>
          <w:p w14:paraId="496719E0" w14:textId="77777777" w:rsidR="003C4E6E" w:rsidRPr="004B64CE" w:rsidRDefault="003C4E6E" w:rsidP="008F59C4">
            <w:pPr>
              <w:spacing w:line="259" w:lineRule="auto"/>
              <w:ind w:left="2" w:right="60"/>
              <w:rPr>
                <w:rFonts w:cs="Arial"/>
                <w:sz w:val="24"/>
                <w:szCs w:val="24"/>
              </w:rPr>
            </w:pPr>
            <w:r w:rsidRPr="004B64CE">
              <w:rPr>
                <w:rFonts w:cs="Arial"/>
                <w:sz w:val="24"/>
                <w:szCs w:val="24"/>
              </w:rPr>
              <w:t>The proposed patient safety incident profile was shared for comment</w:t>
            </w:r>
          </w:p>
        </w:tc>
      </w:tr>
      <w:tr w:rsidR="003C4E6E" w:rsidRPr="004B64CE" w14:paraId="38AADE05" w14:textId="77777777" w:rsidTr="008F59C4">
        <w:trPr>
          <w:trHeight w:val="527"/>
        </w:trPr>
        <w:tc>
          <w:tcPr>
            <w:tcW w:w="3229" w:type="dxa"/>
            <w:tcBorders>
              <w:top w:val="double" w:sz="4" w:space="0" w:color="004F5D"/>
              <w:left w:val="double" w:sz="4" w:space="0" w:color="004F5D"/>
              <w:bottom w:val="double" w:sz="4" w:space="0" w:color="004F5D"/>
              <w:right w:val="double" w:sz="4" w:space="0" w:color="004F5D"/>
            </w:tcBorders>
          </w:tcPr>
          <w:p w14:paraId="46A2DF7D" w14:textId="77777777" w:rsidR="003C4E6E" w:rsidRDefault="003C4E6E" w:rsidP="008F59C4">
            <w:pPr>
              <w:spacing w:line="259" w:lineRule="auto"/>
              <w:rPr>
                <w:rFonts w:cs="Arial"/>
                <w:sz w:val="24"/>
                <w:szCs w:val="24"/>
              </w:rPr>
            </w:pPr>
            <w:r>
              <w:rPr>
                <w:rFonts w:cs="Arial"/>
                <w:sz w:val="24"/>
                <w:szCs w:val="24"/>
              </w:rPr>
              <w:t xml:space="preserve">Patients </w:t>
            </w:r>
          </w:p>
        </w:tc>
        <w:tc>
          <w:tcPr>
            <w:tcW w:w="6112" w:type="dxa"/>
            <w:tcBorders>
              <w:top w:val="double" w:sz="4" w:space="0" w:color="004F5D"/>
              <w:left w:val="double" w:sz="4" w:space="0" w:color="004F5D"/>
              <w:bottom w:val="double" w:sz="4" w:space="0" w:color="004F5D"/>
              <w:right w:val="double" w:sz="4" w:space="0" w:color="004F5D"/>
            </w:tcBorders>
          </w:tcPr>
          <w:p w14:paraId="71648763" w14:textId="77777777" w:rsidR="003C4E6E" w:rsidRPr="004B64CE" w:rsidRDefault="003C4E6E" w:rsidP="008F59C4">
            <w:pPr>
              <w:spacing w:line="259" w:lineRule="auto"/>
              <w:ind w:left="2" w:right="60"/>
              <w:rPr>
                <w:rFonts w:cs="Arial"/>
                <w:sz w:val="24"/>
                <w:szCs w:val="24"/>
              </w:rPr>
            </w:pPr>
            <w:r w:rsidRPr="004B64CE">
              <w:rPr>
                <w:rFonts w:cs="Arial"/>
                <w:sz w:val="24"/>
                <w:szCs w:val="24"/>
              </w:rPr>
              <w:t xml:space="preserve">Our proposed </w:t>
            </w:r>
            <w:r>
              <w:rPr>
                <w:rFonts w:cs="Arial"/>
                <w:sz w:val="24"/>
                <w:szCs w:val="24"/>
              </w:rPr>
              <w:t>local safety priorities were</w:t>
            </w:r>
            <w:r w:rsidRPr="004B64CE">
              <w:rPr>
                <w:rFonts w:cs="Arial"/>
                <w:sz w:val="24"/>
                <w:szCs w:val="24"/>
              </w:rPr>
              <w:t xml:space="preserve"> </w:t>
            </w:r>
            <w:r>
              <w:rPr>
                <w:rFonts w:cs="Arial"/>
                <w:sz w:val="24"/>
                <w:szCs w:val="24"/>
              </w:rPr>
              <w:t xml:space="preserve">discussed with patients at engagement activities at both health centres and third sector event </w:t>
            </w:r>
          </w:p>
        </w:tc>
      </w:tr>
      <w:tr w:rsidR="003C4E6E" w:rsidRPr="004B64CE" w14:paraId="6F9F7AD0" w14:textId="77777777" w:rsidTr="008F59C4">
        <w:trPr>
          <w:trHeight w:val="536"/>
        </w:trPr>
        <w:tc>
          <w:tcPr>
            <w:tcW w:w="3229" w:type="dxa"/>
            <w:tcBorders>
              <w:top w:val="double" w:sz="4" w:space="0" w:color="004F5D"/>
              <w:left w:val="double" w:sz="4" w:space="0" w:color="004F5D"/>
              <w:bottom w:val="double" w:sz="4" w:space="0" w:color="004F5D"/>
              <w:right w:val="double" w:sz="4" w:space="0" w:color="004F5D"/>
            </w:tcBorders>
          </w:tcPr>
          <w:p w14:paraId="0E1445CE" w14:textId="77777777" w:rsidR="003C4E6E" w:rsidRPr="008A7D59" w:rsidRDefault="003C4E6E" w:rsidP="008F59C4">
            <w:pPr>
              <w:spacing w:line="259" w:lineRule="auto"/>
              <w:rPr>
                <w:rFonts w:cs="Arial"/>
                <w:sz w:val="24"/>
                <w:szCs w:val="24"/>
              </w:rPr>
            </w:pPr>
            <w:r w:rsidRPr="008A7D59">
              <w:rPr>
                <w:rFonts w:cs="Arial"/>
                <w:sz w:val="24"/>
                <w:szCs w:val="24"/>
              </w:rPr>
              <w:t xml:space="preserve">Leeds office of the West Yorkshire Integrated Care Board (ICB) </w:t>
            </w:r>
          </w:p>
        </w:tc>
        <w:tc>
          <w:tcPr>
            <w:tcW w:w="6112" w:type="dxa"/>
            <w:tcBorders>
              <w:top w:val="double" w:sz="4" w:space="0" w:color="004F5D"/>
              <w:left w:val="double" w:sz="4" w:space="0" w:color="004F5D"/>
              <w:bottom w:val="double" w:sz="4" w:space="0" w:color="004F5D"/>
              <w:right w:val="double" w:sz="4" w:space="0" w:color="004F5D"/>
            </w:tcBorders>
          </w:tcPr>
          <w:p w14:paraId="3AC69719" w14:textId="77777777" w:rsidR="003C4E6E" w:rsidRPr="004B64CE" w:rsidRDefault="003C4E6E" w:rsidP="008F59C4">
            <w:pPr>
              <w:spacing w:line="259" w:lineRule="auto"/>
              <w:ind w:left="2"/>
              <w:rPr>
                <w:rFonts w:cs="Arial"/>
                <w:sz w:val="24"/>
                <w:szCs w:val="24"/>
              </w:rPr>
            </w:pPr>
            <w:r w:rsidRPr="004B64CE">
              <w:rPr>
                <w:rFonts w:cs="Arial"/>
                <w:sz w:val="24"/>
                <w:szCs w:val="24"/>
              </w:rPr>
              <w:t xml:space="preserve">The proposed patient safety incident profiles </w:t>
            </w:r>
            <w:r>
              <w:rPr>
                <w:rFonts w:cs="Arial"/>
                <w:sz w:val="24"/>
                <w:szCs w:val="24"/>
              </w:rPr>
              <w:t xml:space="preserve">(within the PSIRP) </w:t>
            </w:r>
            <w:r w:rsidRPr="004B64CE">
              <w:rPr>
                <w:rFonts w:cs="Arial"/>
                <w:sz w:val="24"/>
                <w:szCs w:val="24"/>
              </w:rPr>
              <w:t xml:space="preserve">were presented to the ICB for </w:t>
            </w:r>
            <w:r>
              <w:rPr>
                <w:rFonts w:cs="Arial"/>
                <w:sz w:val="24"/>
                <w:szCs w:val="24"/>
              </w:rPr>
              <w:t xml:space="preserve">comment and final </w:t>
            </w:r>
            <w:r w:rsidRPr="004B64CE">
              <w:rPr>
                <w:rFonts w:cs="Arial"/>
                <w:sz w:val="24"/>
                <w:szCs w:val="24"/>
              </w:rPr>
              <w:t xml:space="preserve">approval. </w:t>
            </w:r>
          </w:p>
        </w:tc>
      </w:tr>
      <w:tr w:rsidR="003C4E6E" w:rsidRPr="004B64CE" w14:paraId="61D1719B" w14:textId="77777777" w:rsidTr="008F59C4">
        <w:trPr>
          <w:trHeight w:val="536"/>
        </w:trPr>
        <w:tc>
          <w:tcPr>
            <w:tcW w:w="3229" w:type="dxa"/>
            <w:tcBorders>
              <w:top w:val="double" w:sz="4" w:space="0" w:color="004F5D"/>
              <w:left w:val="double" w:sz="4" w:space="0" w:color="004F5D"/>
              <w:bottom w:val="double" w:sz="4" w:space="0" w:color="004F5D"/>
              <w:right w:val="double" w:sz="4" w:space="0" w:color="004F5D"/>
            </w:tcBorders>
          </w:tcPr>
          <w:p w14:paraId="54376A82" w14:textId="77777777" w:rsidR="003C4E6E" w:rsidRPr="008A7D59" w:rsidRDefault="003C4E6E" w:rsidP="008F59C4">
            <w:pPr>
              <w:spacing w:line="259" w:lineRule="auto"/>
              <w:rPr>
                <w:rFonts w:cs="Arial"/>
                <w:sz w:val="24"/>
                <w:szCs w:val="24"/>
              </w:rPr>
            </w:pPr>
            <w:r>
              <w:rPr>
                <w:rFonts w:cs="Arial"/>
                <w:sz w:val="24"/>
                <w:szCs w:val="24"/>
              </w:rPr>
              <w:t>Partner Trusts</w:t>
            </w:r>
          </w:p>
        </w:tc>
        <w:tc>
          <w:tcPr>
            <w:tcW w:w="6112" w:type="dxa"/>
            <w:tcBorders>
              <w:top w:val="double" w:sz="4" w:space="0" w:color="004F5D"/>
              <w:left w:val="double" w:sz="4" w:space="0" w:color="004F5D"/>
              <w:bottom w:val="double" w:sz="4" w:space="0" w:color="004F5D"/>
              <w:right w:val="double" w:sz="4" w:space="0" w:color="004F5D"/>
            </w:tcBorders>
          </w:tcPr>
          <w:p w14:paraId="6CFDDB42" w14:textId="77777777" w:rsidR="003C4E6E" w:rsidRPr="004B64CE" w:rsidRDefault="003C4E6E" w:rsidP="008F59C4">
            <w:pPr>
              <w:spacing w:line="259" w:lineRule="auto"/>
              <w:ind w:left="2"/>
              <w:rPr>
                <w:rFonts w:cs="Arial"/>
                <w:sz w:val="24"/>
                <w:szCs w:val="24"/>
              </w:rPr>
            </w:pPr>
            <w:r w:rsidRPr="004B64CE">
              <w:rPr>
                <w:rFonts w:cs="Arial"/>
                <w:sz w:val="24"/>
                <w:szCs w:val="24"/>
              </w:rPr>
              <w:t xml:space="preserve">The proposed patient safety incident profile </w:t>
            </w:r>
            <w:r>
              <w:rPr>
                <w:rFonts w:cs="Arial"/>
                <w:sz w:val="24"/>
                <w:szCs w:val="24"/>
              </w:rPr>
              <w:t xml:space="preserve">(within the PSIRP) </w:t>
            </w:r>
            <w:r w:rsidRPr="004B64CE">
              <w:rPr>
                <w:rFonts w:cs="Arial"/>
                <w:sz w:val="24"/>
                <w:szCs w:val="24"/>
              </w:rPr>
              <w:t>was shared with local clinical leads for comment</w:t>
            </w:r>
          </w:p>
        </w:tc>
      </w:tr>
    </w:tbl>
    <w:p w14:paraId="149B64E2" w14:textId="77777777" w:rsidR="003C4E6E" w:rsidRDefault="003C4E6E" w:rsidP="004B64CE">
      <w:pPr>
        <w:spacing w:after="0"/>
        <w:rPr>
          <w:rFonts w:eastAsiaTheme="majorEastAsia" w:cs="Arial"/>
          <w:b/>
          <w:bCs/>
          <w:color w:val="374C80" w:themeColor="accent1" w:themeShade="BF"/>
          <w:sz w:val="24"/>
          <w:szCs w:val="24"/>
        </w:rPr>
      </w:pPr>
    </w:p>
    <w:p w14:paraId="4AF37A16" w14:textId="77777777" w:rsidR="003C4E6E" w:rsidRDefault="003C4E6E" w:rsidP="004B64CE">
      <w:pPr>
        <w:spacing w:after="0"/>
        <w:rPr>
          <w:rFonts w:eastAsiaTheme="majorEastAsia" w:cs="Arial"/>
          <w:b/>
          <w:bCs/>
          <w:color w:val="374C80" w:themeColor="accent1" w:themeShade="BF"/>
          <w:sz w:val="24"/>
          <w:szCs w:val="24"/>
        </w:rPr>
      </w:pPr>
    </w:p>
    <w:p w14:paraId="56AC62F5" w14:textId="77777777" w:rsidR="003C4E6E" w:rsidRDefault="003C4E6E" w:rsidP="004B64CE">
      <w:pPr>
        <w:spacing w:after="0"/>
        <w:rPr>
          <w:rFonts w:eastAsiaTheme="majorEastAsia" w:cs="Arial"/>
          <w:b/>
          <w:bCs/>
          <w:color w:val="374C80" w:themeColor="accent1" w:themeShade="BF"/>
          <w:sz w:val="24"/>
          <w:szCs w:val="24"/>
        </w:rPr>
        <w:sectPr w:rsidR="003C4E6E" w:rsidSect="003C4E6E">
          <w:pgSz w:w="11906" w:h="16838"/>
          <w:pgMar w:top="1440" w:right="1440" w:bottom="1440" w:left="1134" w:header="709" w:footer="709" w:gutter="0"/>
          <w:cols w:space="708"/>
          <w:docGrid w:linePitch="360"/>
        </w:sectPr>
      </w:pPr>
    </w:p>
    <w:p w14:paraId="360C3496" w14:textId="6F4526EE" w:rsidR="001F0CBF" w:rsidRDefault="001F0CBF" w:rsidP="004B64CE">
      <w:pPr>
        <w:spacing w:after="0"/>
        <w:rPr>
          <w:rFonts w:eastAsiaTheme="majorEastAsia" w:cs="Arial"/>
          <w:b/>
          <w:bCs/>
          <w:color w:val="374C80" w:themeColor="accent1" w:themeShade="BF"/>
          <w:sz w:val="24"/>
          <w:szCs w:val="24"/>
        </w:rPr>
      </w:pPr>
      <w:r>
        <w:rPr>
          <w:rFonts w:eastAsiaTheme="majorEastAsia" w:cs="Arial"/>
          <w:b/>
          <w:bCs/>
          <w:color w:val="374C80" w:themeColor="accent1" w:themeShade="BF"/>
          <w:sz w:val="24"/>
          <w:szCs w:val="24"/>
        </w:rPr>
        <w:lastRenderedPageBreak/>
        <w:t xml:space="preserve">Appendix </w:t>
      </w:r>
      <w:r w:rsidR="003C4E6E">
        <w:rPr>
          <w:rFonts w:eastAsiaTheme="majorEastAsia" w:cs="Arial"/>
          <w:b/>
          <w:bCs/>
          <w:color w:val="374C80" w:themeColor="accent1" w:themeShade="BF"/>
          <w:sz w:val="24"/>
          <w:szCs w:val="24"/>
        </w:rPr>
        <w:t>3</w:t>
      </w:r>
      <w:r>
        <w:rPr>
          <w:rFonts w:eastAsiaTheme="majorEastAsia" w:cs="Arial"/>
          <w:b/>
          <w:bCs/>
          <w:color w:val="374C80" w:themeColor="accent1" w:themeShade="BF"/>
          <w:sz w:val="24"/>
          <w:szCs w:val="24"/>
        </w:rPr>
        <w:t xml:space="preserve">: National patient safety requirements </w:t>
      </w:r>
    </w:p>
    <w:p w14:paraId="4CE56D1E" w14:textId="1897EBBF" w:rsidR="001F0CBF" w:rsidRDefault="001F0CBF" w:rsidP="004B64CE">
      <w:pPr>
        <w:spacing w:after="0"/>
        <w:rPr>
          <w:rFonts w:eastAsiaTheme="majorEastAsia" w:cs="Arial"/>
          <w:b/>
          <w:bCs/>
          <w:color w:val="374C80" w:themeColor="accent1" w:themeShade="BF"/>
          <w:sz w:val="24"/>
          <w:szCs w:val="24"/>
        </w:rPr>
      </w:pPr>
    </w:p>
    <w:tbl>
      <w:tblPr>
        <w:tblW w:w="15026" w:type="dxa"/>
        <w:tblInd w:w="-289"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4253"/>
        <w:gridCol w:w="5103"/>
        <w:gridCol w:w="5670"/>
      </w:tblGrid>
      <w:tr w:rsidR="001F0CBF" w:rsidRPr="004B64CE" w14:paraId="630EA476" w14:textId="77777777" w:rsidTr="003C4E6E">
        <w:tc>
          <w:tcPr>
            <w:tcW w:w="4253" w:type="dxa"/>
            <w:tcBorders>
              <w:top w:val="single" w:sz="4" w:space="0" w:color="auto"/>
              <w:left w:val="single" w:sz="4" w:space="0" w:color="auto"/>
              <w:bottom w:val="single" w:sz="4" w:space="0" w:color="auto"/>
              <w:right w:val="single" w:sz="4" w:space="0" w:color="auto"/>
            </w:tcBorders>
            <w:shd w:val="clear" w:color="auto" w:fill="5AA2AE" w:themeFill="accent5"/>
          </w:tcPr>
          <w:p w14:paraId="699BCC03" w14:textId="77777777" w:rsidR="001F0CBF" w:rsidRPr="004B64CE" w:rsidRDefault="001F0CBF" w:rsidP="005E6C6B">
            <w:pPr>
              <w:spacing w:after="0" w:line="360" w:lineRule="auto"/>
              <w:jc w:val="center"/>
              <w:rPr>
                <w:rFonts w:eastAsia="Arial" w:cs="Arial"/>
                <w:b/>
                <w:sz w:val="24"/>
                <w:szCs w:val="24"/>
              </w:rPr>
            </w:pPr>
            <w:r w:rsidRPr="004B64CE">
              <w:rPr>
                <w:rFonts w:eastAsia="Arial" w:cs="Arial"/>
                <w:b/>
                <w:sz w:val="24"/>
                <w:szCs w:val="24"/>
              </w:rPr>
              <w:t>Patient safety incident type</w:t>
            </w:r>
          </w:p>
        </w:tc>
        <w:tc>
          <w:tcPr>
            <w:tcW w:w="5103" w:type="dxa"/>
            <w:tcBorders>
              <w:top w:val="single" w:sz="4" w:space="0" w:color="auto"/>
              <w:left w:val="single" w:sz="4" w:space="0" w:color="auto"/>
              <w:bottom w:val="single" w:sz="4" w:space="0" w:color="auto"/>
              <w:right w:val="single" w:sz="4" w:space="0" w:color="auto"/>
            </w:tcBorders>
            <w:shd w:val="clear" w:color="auto" w:fill="5AA2AE" w:themeFill="accent5"/>
          </w:tcPr>
          <w:p w14:paraId="18EE8C13" w14:textId="77777777" w:rsidR="001F0CBF" w:rsidRPr="004B64CE" w:rsidRDefault="001F0CBF" w:rsidP="005E6C6B">
            <w:pPr>
              <w:spacing w:after="0" w:line="360" w:lineRule="auto"/>
              <w:jc w:val="center"/>
              <w:rPr>
                <w:rFonts w:eastAsia="Arial" w:cs="Arial"/>
                <w:b/>
                <w:sz w:val="24"/>
                <w:szCs w:val="24"/>
              </w:rPr>
            </w:pPr>
            <w:r w:rsidRPr="004B64CE">
              <w:rPr>
                <w:rFonts w:eastAsia="Arial" w:cs="Arial"/>
                <w:b/>
                <w:sz w:val="24"/>
                <w:szCs w:val="24"/>
              </w:rPr>
              <w:t>Response</w:t>
            </w:r>
          </w:p>
        </w:tc>
        <w:tc>
          <w:tcPr>
            <w:tcW w:w="5670" w:type="dxa"/>
            <w:tcBorders>
              <w:top w:val="single" w:sz="4" w:space="0" w:color="auto"/>
              <w:left w:val="single" w:sz="4" w:space="0" w:color="auto"/>
              <w:bottom w:val="single" w:sz="4" w:space="0" w:color="auto"/>
              <w:right w:val="single" w:sz="4" w:space="0" w:color="auto"/>
            </w:tcBorders>
            <w:shd w:val="clear" w:color="auto" w:fill="5AA2AE" w:themeFill="accent5"/>
          </w:tcPr>
          <w:p w14:paraId="1280677B" w14:textId="77777777" w:rsidR="001F0CBF" w:rsidRPr="004B64CE" w:rsidRDefault="001F0CBF" w:rsidP="005E6C6B">
            <w:pPr>
              <w:spacing w:after="0" w:line="240" w:lineRule="auto"/>
              <w:jc w:val="center"/>
              <w:rPr>
                <w:rFonts w:eastAsia="Arial" w:cs="Arial"/>
                <w:b/>
                <w:sz w:val="24"/>
                <w:szCs w:val="24"/>
              </w:rPr>
            </w:pPr>
            <w:r w:rsidRPr="004B64CE">
              <w:rPr>
                <w:rFonts w:eastAsia="Arial" w:cs="Arial"/>
                <w:b/>
                <w:sz w:val="24"/>
                <w:szCs w:val="24"/>
              </w:rPr>
              <w:t xml:space="preserve">Improvement </w:t>
            </w:r>
            <w:r>
              <w:rPr>
                <w:rFonts w:eastAsia="Arial" w:cs="Arial"/>
                <w:b/>
                <w:sz w:val="24"/>
                <w:szCs w:val="24"/>
              </w:rPr>
              <w:t xml:space="preserve">approach </w:t>
            </w:r>
          </w:p>
        </w:tc>
      </w:tr>
      <w:tr w:rsidR="001F0CBF" w:rsidRPr="004B64CE" w14:paraId="7906B000" w14:textId="77777777" w:rsidTr="003C4E6E">
        <w:tc>
          <w:tcPr>
            <w:tcW w:w="4253" w:type="dxa"/>
            <w:tcBorders>
              <w:top w:val="single" w:sz="4" w:space="0" w:color="auto"/>
            </w:tcBorders>
          </w:tcPr>
          <w:p w14:paraId="43C82759" w14:textId="77777777" w:rsidR="001F0CBF" w:rsidRPr="0028514C" w:rsidRDefault="001F0CBF" w:rsidP="005E6C6B">
            <w:pPr>
              <w:spacing w:after="0"/>
              <w:rPr>
                <w:rFonts w:eastAsia="Arial" w:cs="Arial"/>
              </w:rPr>
            </w:pPr>
            <w:r w:rsidRPr="0028514C">
              <w:rPr>
                <w:rFonts w:eastAsia="Arial" w:cs="Arial"/>
                <w:bCs/>
              </w:rPr>
              <w:t xml:space="preserve">Incidents meeting the Never Events criteria </w:t>
            </w:r>
          </w:p>
        </w:tc>
        <w:tc>
          <w:tcPr>
            <w:tcW w:w="5103" w:type="dxa"/>
            <w:tcBorders>
              <w:top w:val="single" w:sz="4" w:space="0" w:color="auto"/>
            </w:tcBorders>
          </w:tcPr>
          <w:p w14:paraId="709A4B0F" w14:textId="77777777" w:rsidR="001F0CBF" w:rsidRPr="0028514C" w:rsidRDefault="001F0CBF" w:rsidP="005E6C6B">
            <w:pPr>
              <w:spacing w:after="0"/>
              <w:rPr>
                <w:rFonts w:eastAsia="Arial" w:cs="Arial"/>
              </w:rPr>
            </w:pPr>
            <w:r w:rsidRPr="0028514C">
              <w:rPr>
                <w:rFonts w:eastAsia="Arial" w:cs="Arial"/>
                <w:bCs/>
              </w:rPr>
              <w:t>Patient Safety Incident Investigation (PSII)</w:t>
            </w:r>
          </w:p>
        </w:tc>
        <w:tc>
          <w:tcPr>
            <w:tcW w:w="5670" w:type="dxa"/>
            <w:tcBorders>
              <w:top w:val="single" w:sz="4" w:space="0" w:color="auto"/>
            </w:tcBorders>
          </w:tcPr>
          <w:p w14:paraId="6A3E7476" w14:textId="77777777" w:rsidR="001F0CBF" w:rsidRPr="0028514C" w:rsidRDefault="001F0CBF" w:rsidP="005E6C6B">
            <w:pPr>
              <w:spacing w:after="0"/>
              <w:rPr>
                <w:rFonts w:eastAsia="Arial" w:cs="Arial"/>
                <w:b/>
              </w:rPr>
            </w:pPr>
            <w:r w:rsidRPr="0028514C">
              <w:rPr>
                <w:rFonts w:cs="Arial"/>
              </w:rPr>
              <w:t xml:space="preserve">Local organisational actions and feed these into the quality improvement </w:t>
            </w:r>
            <w:r>
              <w:rPr>
                <w:rFonts w:cs="Arial"/>
              </w:rPr>
              <w:t>activity</w:t>
            </w:r>
          </w:p>
        </w:tc>
      </w:tr>
      <w:tr w:rsidR="001F0CBF" w:rsidRPr="004B64CE" w14:paraId="0795F97D" w14:textId="77777777" w:rsidTr="003C4E6E">
        <w:tc>
          <w:tcPr>
            <w:tcW w:w="4253" w:type="dxa"/>
          </w:tcPr>
          <w:p w14:paraId="109AE7BD" w14:textId="77777777" w:rsidR="001F0CBF" w:rsidRPr="0028514C" w:rsidRDefault="001F0CBF" w:rsidP="005E6C6B">
            <w:pPr>
              <w:spacing w:after="0"/>
              <w:rPr>
                <w:rFonts w:eastAsia="Arial" w:cs="Arial"/>
              </w:rPr>
            </w:pPr>
            <w:r w:rsidRPr="0028514C">
              <w:rPr>
                <w:rFonts w:eastAsia="Arial" w:cs="Arial"/>
                <w:bCs/>
              </w:rPr>
              <w:t>Death thought more likely than not to be due to problems in care. This can be identified through an incident and / or the learning from deaths process.</w:t>
            </w:r>
          </w:p>
        </w:tc>
        <w:tc>
          <w:tcPr>
            <w:tcW w:w="5103" w:type="dxa"/>
          </w:tcPr>
          <w:p w14:paraId="21B8FB54" w14:textId="77777777" w:rsidR="001F0CBF" w:rsidRPr="0028514C" w:rsidRDefault="001F0CBF" w:rsidP="005E6C6B">
            <w:pPr>
              <w:spacing w:after="0"/>
              <w:rPr>
                <w:rFonts w:eastAsia="Arial" w:cs="Arial"/>
              </w:rPr>
            </w:pPr>
            <w:r w:rsidRPr="0028514C">
              <w:rPr>
                <w:rFonts w:eastAsia="Arial" w:cs="Arial"/>
                <w:bCs/>
              </w:rPr>
              <w:t>PSII</w:t>
            </w:r>
          </w:p>
        </w:tc>
        <w:tc>
          <w:tcPr>
            <w:tcW w:w="5670" w:type="dxa"/>
          </w:tcPr>
          <w:p w14:paraId="508E8BCC" w14:textId="77777777" w:rsidR="001F0CBF" w:rsidRPr="0028514C" w:rsidRDefault="001F0CBF" w:rsidP="005E6C6B">
            <w:pPr>
              <w:spacing w:after="0"/>
              <w:rPr>
                <w:rFonts w:eastAsia="Arial" w:cs="Arial"/>
                <w:b/>
              </w:rPr>
            </w:pPr>
            <w:r w:rsidRPr="0028514C">
              <w:rPr>
                <w:rFonts w:cs="Arial"/>
              </w:rPr>
              <w:t xml:space="preserve">Local organisational actions and feed these into the quality improvement </w:t>
            </w:r>
            <w:r>
              <w:rPr>
                <w:rFonts w:cs="Arial"/>
              </w:rPr>
              <w:t xml:space="preserve">activity </w:t>
            </w:r>
          </w:p>
        </w:tc>
      </w:tr>
      <w:tr w:rsidR="001F0CBF" w:rsidRPr="004B64CE" w14:paraId="490419AB" w14:textId="77777777" w:rsidTr="003C4E6E">
        <w:tc>
          <w:tcPr>
            <w:tcW w:w="4253" w:type="dxa"/>
          </w:tcPr>
          <w:p w14:paraId="1F90E4DD" w14:textId="77777777" w:rsidR="001F0CBF" w:rsidRPr="0028514C" w:rsidRDefault="001F0CBF" w:rsidP="005E6C6B">
            <w:pPr>
              <w:spacing w:after="0"/>
              <w:rPr>
                <w:rFonts w:eastAsia="Arial" w:cs="Arial"/>
              </w:rPr>
            </w:pPr>
            <w:r w:rsidRPr="0028514C">
              <w:rPr>
                <w:rFonts w:cs="Arial"/>
              </w:rPr>
              <w:t xml:space="preserve">Deaths of person who has lived with a learning disability or autism </w:t>
            </w:r>
          </w:p>
        </w:tc>
        <w:tc>
          <w:tcPr>
            <w:tcW w:w="5103" w:type="dxa"/>
          </w:tcPr>
          <w:p w14:paraId="14A8AB75" w14:textId="77777777" w:rsidR="001F0CBF" w:rsidRPr="0028514C" w:rsidRDefault="001F0CBF" w:rsidP="005E6C6B">
            <w:pPr>
              <w:spacing w:after="0"/>
              <w:rPr>
                <w:rFonts w:eastAsia="Arial" w:cs="Arial"/>
              </w:rPr>
            </w:pPr>
            <w:r w:rsidRPr="0028514C">
              <w:rPr>
                <w:rFonts w:cs="Arial"/>
              </w:rPr>
              <w:t>Refer to Learning Disability Mortality Review Programme (</w:t>
            </w:r>
            <w:proofErr w:type="gramStart"/>
            <w:r w:rsidRPr="0028514C">
              <w:rPr>
                <w:rFonts w:cs="Arial"/>
              </w:rPr>
              <w:t>LeDeR )</w:t>
            </w:r>
            <w:proofErr w:type="gramEnd"/>
            <w:r w:rsidRPr="0028514C">
              <w:rPr>
                <w:rFonts w:cs="Arial"/>
              </w:rPr>
              <w:t xml:space="preserve"> for independent review of events leading up to the death LeDeR programme.</w:t>
            </w:r>
          </w:p>
        </w:tc>
        <w:tc>
          <w:tcPr>
            <w:tcW w:w="5670" w:type="dxa"/>
          </w:tcPr>
          <w:p w14:paraId="25C671AF" w14:textId="77777777" w:rsidR="001F0CBF" w:rsidRPr="0028514C" w:rsidRDefault="001F0CBF" w:rsidP="005E6C6B">
            <w:pPr>
              <w:spacing w:after="0"/>
              <w:rPr>
                <w:rFonts w:eastAsia="Arial" w:cs="Arial"/>
              </w:rPr>
            </w:pPr>
            <w:r w:rsidRPr="0028514C">
              <w:rPr>
                <w:rFonts w:eastAsia="Arial" w:cs="Arial"/>
              </w:rPr>
              <w:t>Respond to recommendations from LeDeR programme</w:t>
            </w:r>
          </w:p>
        </w:tc>
      </w:tr>
      <w:tr w:rsidR="001F0CBF" w:rsidRPr="004B64CE" w14:paraId="4371B407" w14:textId="77777777" w:rsidTr="003C4E6E">
        <w:tc>
          <w:tcPr>
            <w:tcW w:w="4253" w:type="dxa"/>
          </w:tcPr>
          <w:p w14:paraId="3D599FD2" w14:textId="77777777" w:rsidR="001F0CBF" w:rsidRPr="0028514C" w:rsidRDefault="001F0CBF" w:rsidP="005E6C6B">
            <w:pPr>
              <w:spacing w:after="0"/>
              <w:rPr>
                <w:rFonts w:eastAsia="Arial" w:cs="Arial"/>
              </w:rPr>
            </w:pPr>
            <w:r w:rsidRPr="0028514C">
              <w:rPr>
                <w:rFonts w:cs="Arial"/>
              </w:rPr>
              <w:t xml:space="preserve">Child death </w:t>
            </w:r>
          </w:p>
        </w:tc>
        <w:tc>
          <w:tcPr>
            <w:tcW w:w="5103" w:type="dxa"/>
          </w:tcPr>
          <w:p w14:paraId="325507F1" w14:textId="77777777" w:rsidR="001F0CBF" w:rsidRPr="0028514C" w:rsidRDefault="001F0CBF" w:rsidP="005E6C6B">
            <w:pPr>
              <w:spacing w:after="0"/>
              <w:rPr>
                <w:rFonts w:eastAsia="Arial" w:cs="Arial"/>
              </w:rPr>
            </w:pPr>
            <w:r w:rsidRPr="0028514C">
              <w:rPr>
                <w:rFonts w:cs="Arial"/>
              </w:rPr>
              <w:t xml:space="preserve">Refer to Child Death Review process. If incident meets the learning from deaths criteria </w:t>
            </w:r>
            <w:r>
              <w:rPr>
                <w:rFonts w:cs="Arial"/>
              </w:rPr>
              <w:t xml:space="preserve">undertake a </w:t>
            </w:r>
            <w:r w:rsidRPr="0028514C">
              <w:rPr>
                <w:rFonts w:cs="Arial"/>
              </w:rPr>
              <w:t>PSII.</w:t>
            </w:r>
          </w:p>
        </w:tc>
        <w:tc>
          <w:tcPr>
            <w:tcW w:w="5670" w:type="dxa"/>
          </w:tcPr>
          <w:p w14:paraId="031E7B6D" w14:textId="77777777" w:rsidR="001F0CBF" w:rsidRPr="0028514C" w:rsidRDefault="001F0CBF" w:rsidP="005E6C6B">
            <w:pPr>
              <w:spacing w:after="0"/>
              <w:rPr>
                <w:rFonts w:eastAsia="Arial" w:cs="Arial"/>
              </w:rPr>
            </w:pPr>
            <w:r w:rsidRPr="0028514C">
              <w:rPr>
                <w:rFonts w:eastAsia="Arial" w:cs="Arial"/>
              </w:rPr>
              <w:t xml:space="preserve">Respond to recommendations from external programme and feed these into the safeguarding strategy as required. </w:t>
            </w:r>
          </w:p>
        </w:tc>
      </w:tr>
      <w:tr w:rsidR="001F0CBF" w:rsidRPr="004B64CE" w14:paraId="1DA48976" w14:textId="77777777" w:rsidTr="003C4E6E">
        <w:tc>
          <w:tcPr>
            <w:tcW w:w="4253" w:type="dxa"/>
          </w:tcPr>
          <w:p w14:paraId="7C14498F" w14:textId="77777777" w:rsidR="001F0CBF" w:rsidRPr="0028514C" w:rsidRDefault="001F0CBF" w:rsidP="005E6C6B">
            <w:pPr>
              <w:spacing w:after="0"/>
              <w:rPr>
                <w:rFonts w:eastAsia="Arial" w:cs="Arial"/>
              </w:rPr>
            </w:pPr>
            <w:r w:rsidRPr="0028514C">
              <w:rPr>
                <w:rFonts w:cs="Arial"/>
              </w:rPr>
              <w:t>Deaths in custody (</w:t>
            </w:r>
            <w:proofErr w:type="gramStart"/>
            <w:r w:rsidRPr="0028514C">
              <w:rPr>
                <w:rFonts w:cs="Arial"/>
              </w:rPr>
              <w:t>e.g.</w:t>
            </w:r>
            <w:proofErr w:type="gramEnd"/>
            <w:r w:rsidRPr="0028514C">
              <w:rPr>
                <w:rFonts w:cs="Arial"/>
              </w:rPr>
              <w:t xml:space="preserve"> police custody,</w:t>
            </w:r>
            <w:r>
              <w:rPr>
                <w:rFonts w:cs="Arial"/>
              </w:rPr>
              <w:t xml:space="preserve"> </w:t>
            </w:r>
            <w:r w:rsidRPr="0028514C">
              <w:rPr>
                <w:rFonts w:cs="Arial"/>
              </w:rPr>
              <w:t xml:space="preserve">prison) where health provision is delivered by the NHS </w:t>
            </w:r>
          </w:p>
        </w:tc>
        <w:tc>
          <w:tcPr>
            <w:tcW w:w="5103" w:type="dxa"/>
          </w:tcPr>
          <w:p w14:paraId="3156DBB3" w14:textId="2D9AADB0" w:rsidR="001F0CBF" w:rsidRPr="0028514C" w:rsidRDefault="001F0CBF" w:rsidP="005E6C6B">
            <w:pPr>
              <w:spacing w:after="0"/>
              <w:rPr>
                <w:rFonts w:eastAsia="Arial" w:cs="Arial"/>
              </w:rPr>
            </w:pPr>
            <w:r w:rsidRPr="0028514C">
              <w:rPr>
                <w:rFonts w:cs="Arial"/>
              </w:rPr>
              <w:t xml:space="preserve">Any death in prison or police custody will be referred (by the relevant organisation) to the Prison and </w:t>
            </w:r>
            <w:r w:rsidRPr="008A7D59">
              <w:rPr>
                <w:rFonts w:cs="Arial"/>
              </w:rPr>
              <w:t>Probation Ombudsman (PPO</w:t>
            </w:r>
            <w:r w:rsidR="004E3842" w:rsidRPr="008A7D59">
              <w:rPr>
                <w:rFonts w:cs="Arial"/>
              </w:rPr>
              <w:t xml:space="preserve"> – carry out independent investigations </w:t>
            </w:r>
            <w:proofErr w:type="gramStart"/>
            <w:r w:rsidR="004E3842" w:rsidRPr="008A7D59">
              <w:rPr>
                <w:rFonts w:cs="Arial"/>
              </w:rPr>
              <w:t>in to</w:t>
            </w:r>
            <w:proofErr w:type="gramEnd"/>
            <w:r w:rsidR="004E3842" w:rsidRPr="008A7D59">
              <w:rPr>
                <w:rFonts w:cs="Arial"/>
              </w:rPr>
              <w:t xml:space="preserve"> deaths and complaints in police custody</w:t>
            </w:r>
            <w:r w:rsidRPr="008A7D59">
              <w:rPr>
                <w:rFonts w:cs="Arial"/>
              </w:rPr>
              <w:t>) or the Independent Office for Police Conduct (IOPC</w:t>
            </w:r>
            <w:r w:rsidR="004E3842" w:rsidRPr="008A7D59">
              <w:rPr>
                <w:rFonts w:cs="Arial"/>
              </w:rPr>
              <w:t xml:space="preserve"> – police complaints watchdog who investigate the most serious complaints and conduct matters</w:t>
            </w:r>
            <w:r w:rsidRPr="008A7D59">
              <w:rPr>
                <w:rFonts w:cs="Arial"/>
              </w:rPr>
              <w:t>) to carry out the relevant</w:t>
            </w:r>
            <w:r w:rsidRPr="0028514C">
              <w:rPr>
                <w:rFonts w:cs="Arial"/>
              </w:rPr>
              <w:t xml:space="preserve"> investigations</w:t>
            </w:r>
            <w:r w:rsidR="00E23A5F">
              <w:rPr>
                <w:rFonts w:cs="Arial"/>
              </w:rPr>
              <w:t>.</w:t>
            </w:r>
            <w:r w:rsidRPr="0028514C">
              <w:rPr>
                <w:rFonts w:cs="Arial"/>
              </w:rPr>
              <w:t xml:space="preserve"> </w:t>
            </w:r>
          </w:p>
        </w:tc>
        <w:tc>
          <w:tcPr>
            <w:tcW w:w="5670" w:type="dxa"/>
          </w:tcPr>
          <w:p w14:paraId="6C373977" w14:textId="0517BE72" w:rsidR="001F0CBF" w:rsidRPr="0028514C" w:rsidRDefault="001F0CBF" w:rsidP="005E6C6B">
            <w:pPr>
              <w:spacing w:after="0"/>
              <w:rPr>
                <w:rFonts w:eastAsia="Arial" w:cs="Arial"/>
              </w:rPr>
            </w:pPr>
            <w:r w:rsidRPr="0028514C">
              <w:rPr>
                <w:rFonts w:cs="Arial"/>
              </w:rPr>
              <w:t>Respond to recommendations from PPO or IOPC</w:t>
            </w:r>
            <w:r w:rsidR="00E23A5F">
              <w:rPr>
                <w:rFonts w:cs="Arial"/>
              </w:rPr>
              <w:t>.</w:t>
            </w:r>
          </w:p>
        </w:tc>
      </w:tr>
      <w:tr w:rsidR="001F0CBF" w:rsidRPr="004B64CE" w14:paraId="4ADECAAA" w14:textId="77777777" w:rsidTr="003C4E6E">
        <w:tc>
          <w:tcPr>
            <w:tcW w:w="4253" w:type="dxa"/>
          </w:tcPr>
          <w:p w14:paraId="4C3A37D4" w14:textId="77777777" w:rsidR="001F0CBF" w:rsidRPr="0028514C" w:rsidRDefault="001F0CBF" w:rsidP="005E6C6B">
            <w:pPr>
              <w:spacing w:after="0"/>
              <w:rPr>
                <w:rFonts w:eastAsia="Arial" w:cs="Arial"/>
              </w:rPr>
            </w:pPr>
            <w:r w:rsidRPr="0028514C">
              <w:rPr>
                <w:rFonts w:cs="Arial"/>
              </w:rPr>
              <w:t xml:space="preserve">Safeguarding incidents in which: 1) babies, children, or young people are on a child protection plan; looked after plan </w:t>
            </w:r>
            <w:r w:rsidRPr="0028514C">
              <w:rPr>
                <w:rFonts w:cs="Arial"/>
              </w:rPr>
              <w:lastRenderedPageBreak/>
              <w:t xml:space="preserve">or a victim of wilful neglect or domestic abuse/violence 2) adults (over 18 years old) are in receipt of care and support needs from their local authority 3) the incident relates to Female Genital Mutilation (FGM), Prevent (radicalisation to terrorism), modern slavery and human trafficking or domestic abuse/violence </w:t>
            </w:r>
          </w:p>
        </w:tc>
        <w:tc>
          <w:tcPr>
            <w:tcW w:w="5103" w:type="dxa"/>
          </w:tcPr>
          <w:p w14:paraId="707C9030" w14:textId="77777777" w:rsidR="001F0CBF" w:rsidRPr="0028514C" w:rsidRDefault="001F0CBF" w:rsidP="005E6C6B">
            <w:pPr>
              <w:spacing w:after="0"/>
              <w:rPr>
                <w:rFonts w:cs="Arial"/>
              </w:rPr>
            </w:pPr>
            <w:r w:rsidRPr="0028514C">
              <w:rPr>
                <w:rFonts w:cs="Arial"/>
              </w:rPr>
              <w:lastRenderedPageBreak/>
              <w:t xml:space="preserve">Refer to local authority safeguarding lead via LCH designated professionals for child and adult safeguarding. </w:t>
            </w:r>
          </w:p>
          <w:p w14:paraId="75B468E9" w14:textId="77777777" w:rsidR="001F0CBF" w:rsidRPr="0028514C" w:rsidRDefault="001F0CBF" w:rsidP="005E6C6B">
            <w:pPr>
              <w:spacing w:after="0"/>
              <w:rPr>
                <w:rFonts w:eastAsia="Arial" w:cs="Arial"/>
              </w:rPr>
            </w:pPr>
            <w:r w:rsidRPr="0028514C">
              <w:rPr>
                <w:rFonts w:cs="Arial"/>
              </w:rPr>
              <w:lastRenderedPageBreak/>
              <w:t>LCH will contribute towards domestic independent inquiries, joint targeted area inspections, child safeguarding practice reviews, domestic homicide reviews and any other safeguarding reviews (and inquiries) as required to do so by the local safeguarding partnership (for children) and local safeguarding adults boards</w:t>
            </w:r>
          </w:p>
        </w:tc>
        <w:tc>
          <w:tcPr>
            <w:tcW w:w="5670" w:type="dxa"/>
          </w:tcPr>
          <w:p w14:paraId="2529AD01" w14:textId="77777777" w:rsidR="001F0CBF" w:rsidRPr="0028514C" w:rsidRDefault="001F0CBF" w:rsidP="005E6C6B">
            <w:pPr>
              <w:spacing w:after="0"/>
              <w:rPr>
                <w:rFonts w:eastAsia="Arial" w:cs="Arial"/>
              </w:rPr>
            </w:pPr>
            <w:r w:rsidRPr="0028514C">
              <w:rPr>
                <w:rFonts w:eastAsia="Arial" w:cs="Arial"/>
              </w:rPr>
              <w:lastRenderedPageBreak/>
              <w:t>Respond to recommendations from external programme and feed these into the safeguarding strategy as required.</w:t>
            </w:r>
          </w:p>
        </w:tc>
      </w:tr>
      <w:tr w:rsidR="00C658C5" w:rsidRPr="004B64CE" w14:paraId="04445892" w14:textId="77777777" w:rsidTr="003C4E6E">
        <w:tc>
          <w:tcPr>
            <w:tcW w:w="4253" w:type="dxa"/>
          </w:tcPr>
          <w:p w14:paraId="6011CAA6" w14:textId="77777777" w:rsidR="00C658C5" w:rsidRPr="0028514C" w:rsidRDefault="00C658C5" w:rsidP="00C658C5">
            <w:pPr>
              <w:spacing w:after="0"/>
              <w:rPr>
                <w:rFonts w:eastAsia="Arial" w:cs="Arial"/>
              </w:rPr>
            </w:pPr>
            <w:r w:rsidRPr="0028514C">
              <w:rPr>
                <w:rFonts w:cs="Arial"/>
              </w:rPr>
              <w:t xml:space="preserve">Domestic Homicide </w:t>
            </w:r>
          </w:p>
        </w:tc>
        <w:tc>
          <w:tcPr>
            <w:tcW w:w="5103" w:type="dxa"/>
          </w:tcPr>
          <w:p w14:paraId="2166787F" w14:textId="77777777" w:rsidR="00C658C5" w:rsidRDefault="00C658C5" w:rsidP="00C658C5">
            <w:pPr>
              <w:spacing w:after="0"/>
              <w:rPr>
                <w:rFonts w:cs="Arial"/>
              </w:rPr>
            </w:pPr>
            <w:r w:rsidRPr="0028514C">
              <w:rPr>
                <w:rFonts w:cs="Arial"/>
              </w:rPr>
              <w:t xml:space="preserve">A domestic homicide is identified by the police usually in partnership with the community safety partnership (CSP) with whom the overall responsibility lies for establishing a review of the case. Where the CSP considers that the criteria for a domestic homicide review (DHR) are </w:t>
            </w:r>
            <w:r>
              <w:rPr>
                <w:rFonts w:cs="Arial"/>
              </w:rPr>
              <w:t>met</w:t>
            </w:r>
            <w:r>
              <w:rPr>
                <w:rStyle w:val="CommentReference"/>
              </w:rPr>
              <w:t xml:space="preserve">, </w:t>
            </w:r>
            <w:r w:rsidRPr="0028514C">
              <w:rPr>
                <w:rFonts w:cs="Arial"/>
              </w:rPr>
              <w:t>it uses local contacts and requests the establishment of a DHR panel</w:t>
            </w:r>
            <w:r>
              <w:rPr>
                <w:rFonts w:cs="Arial"/>
              </w:rPr>
              <w:t>.</w:t>
            </w:r>
          </w:p>
          <w:p w14:paraId="25983BEA" w14:textId="73296B23" w:rsidR="00C658C5" w:rsidRPr="0028514C" w:rsidRDefault="00C658C5" w:rsidP="00C658C5">
            <w:pPr>
              <w:spacing w:after="0"/>
              <w:rPr>
                <w:rFonts w:eastAsia="Arial" w:cs="Arial"/>
              </w:rPr>
            </w:pPr>
            <w:r w:rsidRPr="0028514C">
              <w:rPr>
                <w:rFonts w:cs="Arial"/>
              </w:rPr>
              <w:t>The Domestic Violence, Crime and Victims Act 2004 sets out the statutory obligations and requirements of organisations and commissioners of health services in relation to DHRs</w:t>
            </w:r>
          </w:p>
        </w:tc>
        <w:tc>
          <w:tcPr>
            <w:tcW w:w="5670" w:type="dxa"/>
          </w:tcPr>
          <w:p w14:paraId="5C3F5247" w14:textId="77777777" w:rsidR="00C658C5" w:rsidRPr="0028514C" w:rsidRDefault="00C658C5" w:rsidP="00C658C5">
            <w:pPr>
              <w:spacing w:after="0"/>
              <w:rPr>
                <w:rFonts w:eastAsia="Arial" w:cs="Arial"/>
              </w:rPr>
            </w:pPr>
            <w:r w:rsidRPr="0028514C">
              <w:rPr>
                <w:rFonts w:eastAsia="Arial" w:cs="Arial"/>
              </w:rPr>
              <w:t>Respond to recommendations from external programme and feed these into the safeguarding strategy as required.</w:t>
            </w:r>
          </w:p>
        </w:tc>
      </w:tr>
      <w:tr w:rsidR="00C658C5" w:rsidRPr="004B64CE" w14:paraId="64231959" w14:textId="77777777" w:rsidTr="003C4E6E">
        <w:tc>
          <w:tcPr>
            <w:tcW w:w="4253" w:type="dxa"/>
          </w:tcPr>
          <w:p w14:paraId="4D06864C" w14:textId="77777777" w:rsidR="00C658C5" w:rsidRPr="0028514C" w:rsidRDefault="00C658C5" w:rsidP="00C658C5">
            <w:pPr>
              <w:spacing w:after="0"/>
              <w:rPr>
                <w:rFonts w:eastAsia="Arial" w:cs="Arial"/>
              </w:rPr>
            </w:pPr>
            <w:r w:rsidRPr="0028514C">
              <w:rPr>
                <w:rFonts w:cs="Arial"/>
              </w:rPr>
              <w:t xml:space="preserve">Mental health-related homicides </w:t>
            </w:r>
          </w:p>
        </w:tc>
        <w:tc>
          <w:tcPr>
            <w:tcW w:w="5103" w:type="dxa"/>
          </w:tcPr>
          <w:p w14:paraId="0E5AE05D" w14:textId="77777777" w:rsidR="00C658C5" w:rsidRPr="0028514C" w:rsidRDefault="00C658C5" w:rsidP="00C658C5">
            <w:pPr>
              <w:spacing w:after="0"/>
              <w:rPr>
                <w:rFonts w:eastAsia="Arial" w:cs="Arial"/>
              </w:rPr>
            </w:pPr>
            <w:r w:rsidRPr="0028514C">
              <w:rPr>
                <w:rFonts w:cs="Arial"/>
              </w:rPr>
              <w:t>Referred to the NHS England Regional Independent Investigation Team (RIIT) for consideration for an independent PSII, with consideration of any local learning response</w:t>
            </w:r>
          </w:p>
        </w:tc>
        <w:tc>
          <w:tcPr>
            <w:tcW w:w="5670" w:type="dxa"/>
          </w:tcPr>
          <w:p w14:paraId="4F5DFF97" w14:textId="77777777" w:rsidR="00C658C5" w:rsidRPr="0028514C" w:rsidRDefault="00C658C5" w:rsidP="00C658C5">
            <w:pPr>
              <w:spacing w:after="0"/>
              <w:rPr>
                <w:rFonts w:eastAsia="Arial" w:cs="Arial"/>
              </w:rPr>
            </w:pPr>
            <w:r w:rsidRPr="0028514C">
              <w:rPr>
                <w:rFonts w:eastAsia="Arial" w:cs="Arial"/>
              </w:rPr>
              <w:t>Respond to recommendations from external programme and feed these into the safeguarding strategy as required.</w:t>
            </w:r>
          </w:p>
        </w:tc>
      </w:tr>
      <w:tr w:rsidR="00C658C5" w:rsidRPr="004B64CE" w14:paraId="40C15F9E" w14:textId="77777777" w:rsidTr="003C4E6E">
        <w:tc>
          <w:tcPr>
            <w:tcW w:w="4253" w:type="dxa"/>
          </w:tcPr>
          <w:p w14:paraId="31904ED7" w14:textId="77777777" w:rsidR="00C658C5" w:rsidRPr="0028514C" w:rsidRDefault="00C658C5" w:rsidP="00C658C5">
            <w:pPr>
              <w:spacing w:after="0"/>
              <w:rPr>
                <w:rFonts w:cs="Arial"/>
              </w:rPr>
            </w:pPr>
            <w:r w:rsidRPr="0028514C">
              <w:rPr>
                <w:rFonts w:cs="Arial"/>
              </w:rPr>
              <w:t>Incidents that meet the statutory Duty of Candour threshold (Regulation 20)</w:t>
            </w:r>
          </w:p>
        </w:tc>
        <w:tc>
          <w:tcPr>
            <w:tcW w:w="5103" w:type="dxa"/>
          </w:tcPr>
          <w:p w14:paraId="082D49FA" w14:textId="77777777" w:rsidR="00C658C5" w:rsidRPr="0028514C" w:rsidRDefault="00C658C5" w:rsidP="00C658C5">
            <w:pPr>
              <w:spacing w:after="0"/>
              <w:rPr>
                <w:rFonts w:cs="Arial"/>
              </w:rPr>
            </w:pPr>
            <w:r w:rsidRPr="0028514C">
              <w:rPr>
                <w:rFonts w:cs="Arial"/>
              </w:rPr>
              <w:t>Will be reviewed on individual incident basis to determine most appropriate response to undertake to meet regulation 20</w:t>
            </w:r>
          </w:p>
        </w:tc>
        <w:tc>
          <w:tcPr>
            <w:tcW w:w="5670" w:type="dxa"/>
          </w:tcPr>
          <w:p w14:paraId="4C7BB451" w14:textId="77777777" w:rsidR="00C658C5" w:rsidRPr="0028514C" w:rsidRDefault="00C658C5" w:rsidP="00C658C5">
            <w:pPr>
              <w:spacing w:after="0"/>
              <w:rPr>
                <w:rFonts w:eastAsia="Arial" w:cs="Arial"/>
              </w:rPr>
            </w:pPr>
          </w:p>
        </w:tc>
      </w:tr>
    </w:tbl>
    <w:p w14:paraId="335DB8BB" w14:textId="2D84B1A1" w:rsidR="007F4840" w:rsidRDefault="007F4840" w:rsidP="004B64CE">
      <w:pPr>
        <w:spacing w:after="0"/>
        <w:rPr>
          <w:rFonts w:eastAsiaTheme="majorEastAsia" w:cs="Arial"/>
          <w:b/>
          <w:bCs/>
          <w:color w:val="374C80" w:themeColor="accent1" w:themeShade="BF"/>
          <w:sz w:val="24"/>
          <w:szCs w:val="24"/>
        </w:rPr>
      </w:pPr>
    </w:p>
    <w:sectPr w:rsidR="007F4840" w:rsidSect="003C4E6E">
      <w:pgSz w:w="16838" w:h="11906" w:orient="landscape"/>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AD0C3" w14:textId="77777777" w:rsidR="00D84F65" w:rsidRDefault="00D84F65" w:rsidP="00B31C5A">
      <w:pPr>
        <w:spacing w:after="0" w:line="240" w:lineRule="auto"/>
      </w:pPr>
      <w:r>
        <w:separator/>
      </w:r>
    </w:p>
  </w:endnote>
  <w:endnote w:type="continuationSeparator" w:id="0">
    <w:p w14:paraId="6E301F45" w14:textId="77777777" w:rsidR="00D84F65" w:rsidRDefault="00D84F65" w:rsidP="00B31C5A">
      <w:pPr>
        <w:spacing w:after="0" w:line="240" w:lineRule="auto"/>
      </w:pPr>
      <w:r>
        <w:continuationSeparator/>
      </w:r>
    </w:p>
  </w:endnote>
  <w:endnote w:type="continuationNotice" w:id="1">
    <w:p w14:paraId="11307F79" w14:textId="77777777" w:rsidR="00D84F65" w:rsidRDefault="00D84F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8D56A" w14:textId="40F6CE48" w:rsidR="00C0519A" w:rsidRPr="0015328C" w:rsidRDefault="00C0519A" w:rsidP="00114E2F">
    <w:pPr>
      <w:tabs>
        <w:tab w:val="left" w:pos="1418"/>
      </w:tabs>
      <w:spacing w:before="120" w:after="120" w:line="240" w:lineRule="auto"/>
      <w:ind w:left="-567" w:right="-45"/>
      <w:rPr>
        <w:rFonts w:ascii="Calibri" w:eastAsia="Calibri" w:hAnsi="Calibri" w:cs="Times New Roman"/>
        <w:sz w:val="24"/>
        <w:szCs w:val="24"/>
      </w:rPr>
    </w:pPr>
    <w:r w:rsidRPr="00F17175">
      <w:rPr>
        <w:sz w:val="24"/>
        <w:szCs w:val="24"/>
      </w:rPr>
      <w:t>P</w:t>
    </w:r>
    <w:r w:rsidR="0015328C">
      <w:rPr>
        <w:sz w:val="24"/>
        <w:szCs w:val="24"/>
      </w:rPr>
      <w:t>atient safety incident response p</w:t>
    </w:r>
    <w:r w:rsidR="00F242D5">
      <w:rPr>
        <w:sz w:val="24"/>
        <w:szCs w:val="24"/>
      </w:rPr>
      <w:t>lan</w:t>
    </w:r>
    <w:r w:rsidR="00B13E65">
      <w:rPr>
        <w:sz w:val="24"/>
        <w:szCs w:val="24"/>
      </w:rPr>
      <w:t xml:space="preserve"> </w:t>
    </w:r>
    <w:r w:rsidR="00B13E65" w:rsidRPr="00B13E65">
      <w:rPr>
        <w:sz w:val="20"/>
        <w:szCs w:val="20"/>
      </w:rPr>
      <w:t xml:space="preserve">version </w:t>
    </w:r>
    <w:r w:rsidR="00796969">
      <w:rPr>
        <w:sz w:val="20"/>
        <w:szCs w:val="20"/>
      </w:rPr>
      <w:t>3</w:t>
    </w:r>
    <w:r w:rsidR="00B13E65" w:rsidRPr="00B13E65">
      <w:rPr>
        <w:sz w:val="20"/>
        <w:szCs w:val="20"/>
      </w:rPr>
      <w:t>, 1 January 2024-31 March 2025</w:t>
    </w:r>
  </w:p>
  <w:p w14:paraId="465049A1" w14:textId="77777777" w:rsidR="00C0519A" w:rsidRDefault="00C0519A" w:rsidP="00F17175">
    <w:pPr>
      <w:pStyle w:val="Footer"/>
      <w:jc w:val="center"/>
    </w:pPr>
    <w:r>
      <w:ptab w:relativeTo="margin" w:alignment="right" w:leader="none"/>
    </w:r>
    <w:r>
      <w:t xml:space="preserve">Page </w:t>
    </w:r>
    <w:r>
      <w:rPr>
        <w:b/>
      </w:rPr>
      <w:fldChar w:fldCharType="begin"/>
    </w:r>
    <w:r>
      <w:rPr>
        <w:b/>
      </w:rPr>
      <w:instrText xml:space="preserve"> PAGE  \* Arabic  \* MERGEFORMAT </w:instrText>
    </w:r>
    <w:r>
      <w:rPr>
        <w:b/>
      </w:rPr>
      <w:fldChar w:fldCharType="separate"/>
    </w:r>
    <w:r>
      <w:rPr>
        <w:b/>
        <w:noProof/>
      </w:rPr>
      <w:t>12</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12</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2A7C2" w14:textId="77777777" w:rsidR="00D84F65" w:rsidRDefault="00D84F65" w:rsidP="00B31C5A">
      <w:pPr>
        <w:spacing w:after="0" w:line="240" w:lineRule="auto"/>
      </w:pPr>
      <w:r>
        <w:separator/>
      </w:r>
    </w:p>
  </w:footnote>
  <w:footnote w:type="continuationSeparator" w:id="0">
    <w:p w14:paraId="5F3222EC" w14:textId="77777777" w:rsidR="00D84F65" w:rsidRDefault="00D84F65" w:rsidP="00B31C5A">
      <w:pPr>
        <w:spacing w:after="0" w:line="240" w:lineRule="auto"/>
      </w:pPr>
      <w:r>
        <w:continuationSeparator/>
      </w:r>
    </w:p>
  </w:footnote>
  <w:footnote w:type="continuationNotice" w:id="1">
    <w:p w14:paraId="4475587F" w14:textId="77777777" w:rsidR="00D84F65" w:rsidRDefault="00D84F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A902" w14:textId="0FE28523" w:rsidR="00867BC7" w:rsidRDefault="004E47D0" w:rsidP="00867BC7">
    <w:pPr>
      <w:pStyle w:val="Header"/>
      <w:jc w:val="right"/>
    </w:pPr>
    <w:sdt>
      <w:sdtPr>
        <w:id w:val="-1319191569"/>
        <w:docPartObj>
          <w:docPartGallery w:val="Watermarks"/>
          <w:docPartUnique/>
        </w:docPartObj>
      </w:sdtPr>
      <w:sdtEndPr/>
      <w:sdtContent>
        <w:r>
          <w:rPr>
            <w:noProof/>
          </w:rPr>
          <w:pict w14:anchorId="55341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131564" o:spid="_x0000_s1025" type="#_x0000_t136" style="position:absolute;left:0;text-align:left;margin-left:0;margin-top:0;width:411.15pt;height:246.7pt;rotation:315;z-index:-251658752;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sdtContent>
    </w:sdt>
    <w:r w:rsidR="00867BC7">
      <w:rPr>
        <w:noProof/>
        <w:lang w:eastAsia="en-GB"/>
      </w:rPr>
      <w:drawing>
        <wp:inline distT="0" distB="0" distL="0" distR="0" wp14:anchorId="6B0C1E64" wp14:editId="434F83E5">
          <wp:extent cx="1775460" cy="815340"/>
          <wp:effectExtent l="0" t="0" r="0" b="381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921" cy="81830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8EB9E8"/>
    <w:multiLevelType w:val="hybridMultilevel"/>
    <w:tmpl w:val="C36711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01C73"/>
    <w:multiLevelType w:val="hybridMultilevel"/>
    <w:tmpl w:val="5CEAE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0C11B96"/>
    <w:multiLevelType w:val="hybridMultilevel"/>
    <w:tmpl w:val="0BBC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26A38"/>
    <w:multiLevelType w:val="hybridMultilevel"/>
    <w:tmpl w:val="6E680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33558"/>
    <w:multiLevelType w:val="hybridMultilevel"/>
    <w:tmpl w:val="B78E3628"/>
    <w:lvl w:ilvl="0" w:tplc="0D8C39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A7A69"/>
    <w:multiLevelType w:val="hybridMultilevel"/>
    <w:tmpl w:val="DFB6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6F0892"/>
    <w:multiLevelType w:val="hybridMultilevel"/>
    <w:tmpl w:val="EE2CC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E47E8F"/>
    <w:multiLevelType w:val="hybridMultilevel"/>
    <w:tmpl w:val="1EF28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6D69A6"/>
    <w:multiLevelType w:val="hybridMultilevel"/>
    <w:tmpl w:val="8D1E641C"/>
    <w:lvl w:ilvl="0" w:tplc="1BC6BA06">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1C207C"/>
    <w:multiLevelType w:val="hybridMultilevel"/>
    <w:tmpl w:val="EA86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341662"/>
    <w:multiLevelType w:val="hybridMultilevel"/>
    <w:tmpl w:val="D258F64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1" w15:restartNumberingAfterBreak="0">
    <w:nsid w:val="19E75656"/>
    <w:multiLevelType w:val="hybridMultilevel"/>
    <w:tmpl w:val="A1B8B8B6"/>
    <w:lvl w:ilvl="0" w:tplc="9B36E158">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3D47D9"/>
    <w:multiLevelType w:val="hybridMultilevel"/>
    <w:tmpl w:val="E7A444BC"/>
    <w:lvl w:ilvl="0" w:tplc="90822C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0D2658"/>
    <w:multiLevelType w:val="hybridMultilevel"/>
    <w:tmpl w:val="061CE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776AFB"/>
    <w:multiLevelType w:val="hybridMultilevel"/>
    <w:tmpl w:val="E1A054D4"/>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5" w15:restartNumberingAfterBreak="0">
    <w:nsid w:val="2418594C"/>
    <w:multiLevelType w:val="hybridMultilevel"/>
    <w:tmpl w:val="9F80A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47844D4"/>
    <w:multiLevelType w:val="hybridMultilevel"/>
    <w:tmpl w:val="458EED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0444A6"/>
    <w:multiLevelType w:val="multilevel"/>
    <w:tmpl w:val="A394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8F3B09"/>
    <w:multiLevelType w:val="hybridMultilevel"/>
    <w:tmpl w:val="2392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B669B7"/>
    <w:multiLevelType w:val="hybridMultilevel"/>
    <w:tmpl w:val="BB3C5F5C"/>
    <w:lvl w:ilvl="0" w:tplc="C270E7D0">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150C47"/>
    <w:multiLevelType w:val="hybridMultilevel"/>
    <w:tmpl w:val="BFFCBFF4"/>
    <w:lvl w:ilvl="0" w:tplc="E89EBA86">
      <w:start w:val="1"/>
      <w:numFmt w:val="bullet"/>
      <w:lvlText w:val=""/>
      <w:lvlJc w:val="left"/>
      <w:pPr>
        <w:ind w:left="360" w:hanging="360"/>
      </w:pPr>
      <w:rPr>
        <w:rFonts w:ascii="Symbol" w:hAnsi="Symbol" w:hint="default"/>
        <w:b/>
        <w:i w:val="0"/>
        <w:sz w:val="20"/>
      </w:rPr>
    </w:lvl>
    <w:lvl w:ilvl="1" w:tplc="9C587E1C">
      <w:numFmt w:val="bullet"/>
      <w:lvlText w:val="-"/>
      <w:lvlJc w:val="left"/>
      <w:pPr>
        <w:ind w:left="1080" w:hanging="360"/>
      </w:pPr>
      <w:rPr>
        <w:rFonts w:ascii="Calibri" w:eastAsia="Times New Roman" w:hAnsi="Calibri" w:cs="Calibr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BCE49A8"/>
    <w:multiLevelType w:val="hybridMultilevel"/>
    <w:tmpl w:val="B77E03D2"/>
    <w:lvl w:ilvl="0" w:tplc="EF1EDB38">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9F32EB"/>
    <w:multiLevelType w:val="hybridMultilevel"/>
    <w:tmpl w:val="1EB8C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059066E"/>
    <w:multiLevelType w:val="hybridMultilevel"/>
    <w:tmpl w:val="A15260FA"/>
    <w:lvl w:ilvl="0" w:tplc="F69C481C">
      <w:start w:val="1"/>
      <w:numFmt w:val="bullet"/>
      <w:lvlText w:val=""/>
      <w:lvlJc w:val="left"/>
      <w:pPr>
        <w:tabs>
          <w:tab w:val="num" w:pos="360"/>
        </w:tabs>
        <w:ind w:left="360" w:hanging="360"/>
      </w:pPr>
      <w:rPr>
        <w:rFonts w:ascii="Symbol" w:hAnsi="Symbol" w:hint="default"/>
        <w:sz w:val="20"/>
        <w:szCs w:val="20"/>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35280205"/>
    <w:multiLevelType w:val="multilevel"/>
    <w:tmpl w:val="4F50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89348F"/>
    <w:multiLevelType w:val="hybridMultilevel"/>
    <w:tmpl w:val="806ADC5E"/>
    <w:lvl w:ilvl="0" w:tplc="A226F58C">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8F09E5"/>
    <w:multiLevelType w:val="hybridMultilevel"/>
    <w:tmpl w:val="B34CD96C"/>
    <w:lvl w:ilvl="0" w:tplc="9734341E">
      <w:start w:val="1"/>
      <w:numFmt w:val="bullet"/>
      <w:lvlText w:val=""/>
      <w:lvlJc w:val="left"/>
      <w:pPr>
        <w:ind w:left="1080" w:hanging="360"/>
      </w:pPr>
      <w:rPr>
        <w:rFonts w:ascii="Symbol" w:hAnsi="Symbol" w:hint="default"/>
        <w:color w:val="005EB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3FF472D"/>
    <w:multiLevelType w:val="hybridMultilevel"/>
    <w:tmpl w:val="E9C60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771730"/>
    <w:multiLevelType w:val="hybridMultilevel"/>
    <w:tmpl w:val="746000A8"/>
    <w:lvl w:ilvl="0" w:tplc="90822C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954348"/>
    <w:multiLevelType w:val="hybridMultilevel"/>
    <w:tmpl w:val="C41E4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3825AE7"/>
    <w:multiLevelType w:val="hybridMultilevel"/>
    <w:tmpl w:val="D17AB1F8"/>
    <w:lvl w:ilvl="0" w:tplc="26E0BCD2">
      <w:start w:val="1"/>
      <w:numFmt w:val="bullet"/>
      <w:lvlText w:val=""/>
      <w:lvlJc w:val="left"/>
      <w:pPr>
        <w:ind w:left="765" w:hanging="360"/>
      </w:pPr>
      <w:rPr>
        <w:rFonts w:ascii="Symbol" w:hAnsi="Symbol" w:hint="default"/>
        <w:color w:val="0070C0"/>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1" w15:restartNumberingAfterBreak="0">
    <w:nsid w:val="54EA5E65"/>
    <w:multiLevelType w:val="hybridMultilevel"/>
    <w:tmpl w:val="51E67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57105DD"/>
    <w:multiLevelType w:val="hybridMultilevel"/>
    <w:tmpl w:val="1F543276"/>
    <w:lvl w:ilvl="0" w:tplc="08090001">
      <w:start w:val="1"/>
      <w:numFmt w:val="bullet"/>
      <w:lvlText w:val=""/>
      <w:lvlJc w:val="left"/>
      <w:pPr>
        <w:ind w:left="1256" w:hanging="360"/>
      </w:pPr>
      <w:rPr>
        <w:rFonts w:ascii="Symbol" w:hAnsi="Symbol" w:hint="default"/>
      </w:rPr>
    </w:lvl>
    <w:lvl w:ilvl="1" w:tplc="08090003" w:tentative="1">
      <w:start w:val="1"/>
      <w:numFmt w:val="bullet"/>
      <w:lvlText w:val="o"/>
      <w:lvlJc w:val="left"/>
      <w:pPr>
        <w:ind w:left="1976" w:hanging="360"/>
      </w:pPr>
      <w:rPr>
        <w:rFonts w:ascii="Courier New" w:hAnsi="Courier New" w:cs="Courier New" w:hint="default"/>
      </w:rPr>
    </w:lvl>
    <w:lvl w:ilvl="2" w:tplc="08090005" w:tentative="1">
      <w:start w:val="1"/>
      <w:numFmt w:val="bullet"/>
      <w:lvlText w:val=""/>
      <w:lvlJc w:val="left"/>
      <w:pPr>
        <w:ind w:left="2696" w:hanging="360"/>
      </w:pPr>
      <w:rPr>
        <w:rFonts w:ascii="Wingdings" w:hAnsi="Wingdings" w:hint="default"/>
      </w:rPr>
    </w:lvl>
    <w:lvl w:ilvl="3" w:tplc="08090001" w:tentative="1">
      <w:start w:val="1"/>
      <w:numFmt w:val="bullet"/>
      <w:lvlText w:val=""/>
      <w:lvlJc w:val="left"/>
      <w:pPr>
        <w:ind w:left="3416" w:hanging="360"/>
      </w:pPr>
      <w:rPr>
        <w:rFonts w:ascii="Symbol" w:hAnsi="Symbol" w:hint="default"/>
      </w:rPr>
    </w:lvl>
    <w:lvl w:ilvl="4" w:tplc="08090003" w:tentative="1">
      <w:start w:val="1"/>
      <w:numFmt w:val="bullet"/>
      <w:lvlText w:val="o"/>
      <w:lvlJc w:val="left"/>
      <w:pPr>
        <w:ind w:left="4136" w:hanging="360"/>
      </w:pPr>
      <w:rPr>
        <w:rFonts w:ascii="Courier New" w:hAnsi="Courier New" w:cs="Courier New" w:hint="default"/>
      </w:rPr>
    </w:lvl>
    <w:lvl w:ilvl="5" w:tplc="08090005" w:tentative="1">
      <w:start w:val="1"/>
      <w:numFmt w:val="bullet"/>
      <w:lvlText w:val=""/>
      <w:lvlJc w:val="left"/>
      <w:pPr>
        <w:ind w:left="4856" w:hanging="360"/>
      </w:pPr>
      <w:rPr>
        <w:rFonts w:ascii="Wingdings" w:hAnsi="Wingdings" w:hint="default"/>
      </w:rPr>
    </w:lvl>
    <w:lvl w:ilvl="6" w:tplc="08090001" w:tentative="1">
      <w:start w:val="1"/>
      <w:numFmt w:val="bullet"/>
      <w:lvlText w:val=""/>
      <w:lvlJc w:val="left"/>
      <w:pPr>
        <w:ind w:left="5576" w:hanging="360"/>
      </w:pPr>
      <w:rPr>
        <w:rFonts w:ascii="Symbol" w:hAnsi="Symbol" w:hint="default"/>
      </w:rPr>
    </w:lvl>
    <w:lvl w:ilvl="7" w:tplc="08090003" w:tentative="1">
      <w:start w:val="1"/>
      <w:numFmt w:val="bullet"/>
      <w:lvlText w:val="o"/>
      <w:lvlJc w:val="left"/>
      <w:pPr>
        <w:ind w:left="6296" w:hanging="360"/>
      </w:pPr>
      <w:rPr>
        <w:rFonts w:ascii="Courier New" w:hAnsi="Courier New" w:cs="Courier New" w:hint="default"/>
      </w:rPr>
    </w:lvl>
    <w:lvl w:ilvl="8" w:tplc="08090005" w:tentative="1">
      <w:start w:val="1"/>
      <w:numFmt w:val="bullet"/>
      <w:lvlText w:val=""/>
      <w:lvlJc w:val="left"/>
      <w:pPr>
        <w:ind w:left="7016" w:hanging="360"/>
      </w:pPr>
      <w:rPr>
        <w:rFonts w:ascii="Wingdings" w:hAnsi="Wingdings" w:hint="default"/>
      </w:rPr>
    </w:lvl>
  </w:abstractNum>
  <w:abstractNum w:abstractNumId="33" w15:restartNumberingAfterBreak="0">
    <w:nsid w:val="577E328A"/>
    <w:multiLevelType w:val="hybridMultilevel"/>
    <w:tmpl w:val="9C2A7FC6"/>
    <w:lvl w:ilvl="0" w:tplc="70FC15C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6C7CFA"/>
    <w:multiLevelType w:val="hybridMultilevel"/>
    <w:tmpl w:val="AC4C5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2B48BC"/>
    <w:multiLevelType w:val="hybridMultilevel"/>
    <w:tmpl w:val="3C32B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410990"/>
    <w:multiLevelType w:val="hybridMultilevel"/>
    <w:tmpl w:val="F4F8656C"/>
    <w:lvl w:ilvl="0" w:tplc="E89EBA86">
      <w:start w:val="1"/>
      <w:numFmt w:val="bullet"/>
      <w:lvlText w:val=""/>
      <w:lvlJc w:val="left"/>
      <w:pPr>
        <w:ind w:left="720" w:hanging="360"/>
      </w:pPr>
      <w:rPr>
        <w:rFonts w:ascii="Symbol" w:hAnsi="Symbol" w:hint="default"/>
        <w:b/>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3A658C"/>
    <w:multiLevelType w:val="hybridMultilevel"/>
    <w:tmpl w:val="E102ACBE"/>
    <w:lvl w:ilvl="0" w:tplc="65C81E86">
      <w:start w:val="1"/>
      <w:numFmt w:val="bullet"/>
      <w:lvlText w:val="•"/>
      <w:lvlJc w:val="left"/>
      <w:pPr>
        <w:ind w:left="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FA0D80">
      <w:start w:val="1"/>
      <w:numFmt w:val="bullet"/>
      <w:lvlText w:val="o"/>
      <w:lvlJc w:val="left"/>
      <w:pPr>
        <w:ind w:left="1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044036">
      <w:start w:val="1"/>
      <w:numFmt w:val="bullet"/>
      <w:lvlText w:val="▪"/>
      <w:lvlJc w:val="left"/>
      <w:pPr>
        <w:ind w:left="23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C42BCC">
      <w:start w:val="1"/>
      <w:numFmt w:val="bullet"/>
      <w:lvlText w:val="•"/>
      <w:lvlJc w:val="left"/>
      <w:pPr>
        <w:ind w:left="3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3A6DF6">
      <w:start w:val="1"/>
      <w:numFmt w:val="bullet"/>
      <w:lvlText w:val="o"/>
      <w:lvlJc w:val="left"/>
      <w:pPr>
        <w:ind w:left="3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CE4CEE">
      <w:start w:val="1"/>
      <w:numFmt w:val="bullet"/>
      <w:lvlText w:val="▪"/>
      <w:lvlJc w:val="left"/>
      <w:pPr>
        <w:ind w:left="4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FAFC9C">
      <w:start w:val="1"/>
      <w:numFmt w:val="bullet"/>
      <w:lvlText w:val="•"/>
      <w:lvlJc w:val="left"/>
      <w:pPr>
        <w:ind w:left="5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36B320">
      <w:start w:val="1"/>
      <w:numFmt w:val="bullet"/>
      <w:lvlText w:val="o"/>
      <w:lvlJc w:val="left"/>
      <w:pPr>
        <w:ind w:left="5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B2A260">
      <w:start w:val="1"/>
      <w:numFmt w:val="bullet"/>
      <w:lvlText w:val="▪"/>
      <w:lvlJc w:val="left"/>
      <w:pPr>
        <w:ind w:left="66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42B2131"/>
    <w:multiLevelType w:val="hybridMultilevel"/>
    <w:tmpl w:val="4DDC7EF8"/>
    <w:lvl w:ilvl="0" w:tplc="901CEE0A">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98489B"/>
    <w:multiLevelType w:val="hybridMultilevel"/>
    <w:tmpl w:val="73423386"/>
    <w:lvl w:ilvl="0" w:tplc="C750BB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B632DF"/>
    <w:multiLevelType w:val="hybridMultilevel"/>
    <w:tmpl w:val="84C2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9C5921"/>
    <w:multiLevelType w:val="hybridMultilevel"/>
    <w:tmpl w:val="3F2CFB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6BF56A8E"/>
    <w:multiLevelType w:val="hybridMultilevel"/>
    <w:tmpl w:val="0BC62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5E2E06"/>
    <w:multiLevelType w:val="hybridMultilevel"/>
    <w:tmpl w:val="EDEE7FBA"/>
    <w:lvl w:ilvl="0" w:tplc="90EA090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8738F9"/>
    <w:multiLevelType w:val="hybridMultilevel"/>
    <w:tmpl w:val="BE184A96"/>
    <w:lvl w:ilvl="0" w:tplc="08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2E67A7"/>
    <w:multiLevelType w:val="hybridMultilevel"/>
    <w:tmpl w:val="6B700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466734"/>
    <w:multiLevelType w:val="hybridMultilevel"/>
    <w:tmpl w:val="7C16C9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DEF09D8"/>
    <w:multiLevelType w:val="hybridMultilevel"/>
    <w:tmpl w:val="C9345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3341DA"/>
    <w:multiLevelType w:val="hybridMultilevel"/>
    <w:tmpl w:val="DBD28004"/>
    <w:lvl w:ilvl="0" w:tplc="B066DA48">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460196">
    <w:abstractNumId w:val="36"/>
  </w:num>
  <w:num w:numId="2" w16cid:durableId="305672335">
    <w:abstractNumId w:val="20"/>
  </w:num>
  <w:num w:numId="3" w16cid:durableId="1613786095">
    <w:abstractNumId w:val="41"/>
  </w:num>
  <w:num w:numId="4" w16cid:durableId="487601332">
    <w:abstractNumId w:val="23"/>
  </w:num>
  <w:num w:numId="5" w16cid:durableId="1792935238">
    <w:abstractNumId w:val="2"/>
  </w:num>
  <w:num w:numId="6" w16cid:durableId="2071802434">
    <w:abstractNumId w:val="5"/>
  </w:num>
  <w:num w:numId="7" w16cid:durableId="532160405">
    <w:abstractNumId w:val="44"/>
  </w:num>
  <w:num w:numId="8" w16cid:durableId="1401978798">
    <w:abstractNumId w:val="23"/>
  </w:num>
  <w:num w:numId="9" w16cid:durableId="1830972866">
    <w:abstractNumId w:val="22"/>
  </w:num>
  <w:num w:numId="10" w16cid:durableId="1188330156">
    <w:abstractNumId w:val="32"/>
  </w:num>
  <w:num w:numId="11" w16cid:durableId="1417364185">
    <w:abstractNumId w:val="1"/>
  </w:num>
  <w:num w:numId="12" w16cid:durableId="1800487999">
    <w:abstractNumId w:val="39"/>
  </w:num>
  <w:num w:numId="13" w16cid:durableId="769088423">
    <w:abstractNumId w:val="35"/>
  </w:num>
  <w:num w:numId="14" w16cid:durableId="353457834">
    <w:abstractNumId w:val="47"/>
  </w:num>
  <w:num w:numId="15" w16cid:durableId="1308557837">
    <w:abstractNumId w:val="3"/>
  </w:num>
  <w:num w:numId="16" w16cid:durableId="73212966">
    <w:abstractNumId w:val="0"/>
  </w:num>
  <w:num w:numId="17" w16cid:durableId="2010864913">
    <w:abstractNumId w:val="45"/>
  </w:num>
  <w:num w:numId="18" w16cid:durableId="1495955899">
    <w:abstractNumId w:val="12"/>
  </w:num>
  <w:num w:numId="19" w16cid:durableId="246309147">
    <w:abstractNumId w:val="28"/>
  </w:num>
  <w:num w:numId="20" w16cid:durableId="2133591299">
    <w:abstractNumId w:val="42"/>
  </w:num>
  <w:num w:numId="21" w16cid:durableId="1536963621">
    <w:abstractNumId w:val="14"/>
  </w:num>
  <w:num w:numId="22" w16cid:durableId="2144959075">
    <w:abstractNumId w:val="4"/>
  </w:num>
  <w:num w:numId="23" w16cid:durableId="1837838577">
    <w:abstractNumId w:val="7"/>
  </w:num>
  <w:num w:numId="24" w16cid:durableId="407969739">
    <w:abstractNumId w:val="24"/>
  </w:num>
  <w:num w:numId="25" w16cid:durableId="1878005767">
    <w:abstractNumId w:val="17"/>
  </w:num>
  <w:num w:numId="26" w16cid:durableId="923496238">
    <w:abstractNumId w:val="9"/>
  </w:num>
  <w:num w:numId="27" w16cid:durableId="75131956">
    <w:abstractNumId w:val="10"/>
  </w:num>
  <w:num w:numId="28" w16cid:durableId="1365252337">
    <w:abstractNumId w:val="11"/>
  </w:num>
  <w:num w:numId="29" w16cid:durableId="1433360265">
    <w:abstractNumId w:val="21"/>
  </w:num>
  <w:num w:numId="30" w16cid:durableId="1218124091">
    <w:abstractNumId w:val="40"/>
  </w:num>
  <w:num w:numId="31" w16cid:durableId="129254150">
    <w:abstractNumId w:val="43"/>
  </w:num>
  <w:num w:numId="32" w16cid:durableId="1597130745">
    <w:abstractNumId w:val="38"/>
  </w:num>
  <w:num w:numId="33" w16cid:durableId="1733194849">
    <w:abstractNumId w:val="30"/>
  </w:num>
  <w:num w:numId="34" w16cid:durableId="1325281535">
    <w:abstractNumId w:val="33"/>
  </w:num>
  <w:num w:numId="35" w16cid:durableId="1675919251">
    <w:abstractNumId w:val="26"/>
  </w:num>
  <w:num w:numId="36" w16cid:durableId="1635402710">
    <w:abstractNumId w:val="19"/>
  </w:num>
  <w:num w:numId="37" w16cid:durableId="1312978997">
    <w:abstractNumId w:val="48"/>
  </w:num>
  <w:num w:numId="38" w16cid:durableId="612785463">
    <w:abstractNumId w:val="25"/>
  </w:num>
  <w:num w:numId="39" w16cid:durableId="1473669907">
    <w:abstractNumId w:val="18"/>
  </w:num>
  <w:num w:numId="40" w16cid:durableId="2137410847">
    <w:abstractNumId w:val="8"/>
  </w:num>
  <w:num w:numId="41" w16cid:durableId="1737163358">
    <w:abstractNumId w:val="16"/>
  </w:num>
  <w:num w:numId="42" w16cid:durableId="1439135522">
    <w:abstractNumId w:val="29"/>
  </w:num>
  <w:num w:numId="43" w16cid:durableId="1743337006">
    <w:abstractNumId w:val="37"/>
  </w:num>
  <w:num w:numId="44" w16cid:durableId="1827361427">
    <w:abstractNumId w:val="6"/>
  </w:num>
  <w:num w:numId="45" w16cid:durableId="1744326856">
    <w:abstractNumId w:val="31"/>
  </w:num>
  <w:num w:numId="46" w16cid:durableId="827096564">
    <w:abstractNumId w:val="27"/>
  </w:num>
  <w:num w:numId="47" w16cid:durableId="2016690972">
    <w:abstractNumId w:val="34"/>
  </w:num>
  <w:num w:numId="48" w16cid:durableId="901452337">
    <w:abstractNumId w:val="13"/>
  </w:num>
  <w:num w:numId="49" w16cid:durableId="1681658701">
    <w:abstractNumId w:val="15"/>
  </w:num>
  <w:num w:numId="50" w16cid:durableId="21858932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AA"/>
    <w:rsid w:val="00000451"/>
    <w:rsid w:val="00004A2B"/>
    <w:rsid w:val="0000546E"/>
    <w:rsid w:val="0000557E"/>
    <w:rsid w:val="00007A99"/>
    <w:rsid w:val="000107A4"/>
    <w:rsid w:val="00010967"/>
    <w:rsid w:val="00011A36"/>
    <w:rsid w:val="00015061"/>
    <w:rsid w:val="00017068"/>
    <w:rsid w:val="00027016"/>
    <w:rsid w:val="0002790E"/>
    <w:rsid w:val="000314D9"/>
    <w:rsid w:val="000320C8"/>
    <w:rsid w:val="00034691"/>
    <w:rsid w:val="00034E4F"/>
    <w:rsid w:val="00037C73"/>
    <w:rsid w:val="00040046"/>
    <w:rsid w:val="000406FE"/>
    <w:rsid w:val="000410DF"/>
    <w:rsid w:val="00043B59"/>
    <w:rsid w:val="00046220"/>
    <w:rsid w:val="00051D45"/>
    <w:rsid w:val="00052F36"/>
    <w:rsid w:val="000562D2"/>
    <w:rsid w:val="000576CA"/>
    <w:rsid w:val="000661C5"/>
    <w:rsid w:val="000708EF"/>
    <w:rsid w:val="000722C6"/>
    <w:rsid w:val="00072AB3"/>
    <w:rsid w:val="00073126"/>
    <w:rsid w:val="0007746E"/>
    <w:rsid w:val="00077517"/>
    <w:rsid w:val="00086770"/>
    <w:rsid w:val="00090C5C"/>
    <w:rsid w:val="00096B0C"/>
    <w:rsid w:val="00097C53"/>
    <w:rsid w:val="000A16A6"/>
    <w:rsid w:val="000A4E08"/>
    <w:rsid w:val="000A5254"/>
    <w:rsid w:val="000B0095"/>
    <w:rsid w:val="000B0F6D"/>
    <w:rsid w:val="000B6D8A"/>
    <w:rsid w:val="000B7989"/>
    <w:rsid w:val="000C200D"/>
    <w:rsid w:val="000C2135"/>
    <w:rsid w:val="000C3A30"/>
    <w:rsid w:val="000D3FDA"/>
    <w:rsid w:val="000D56E3"/>
    <w:rsid w:val="000E11BC"/>
    <w:rsid w:val="000E1851"/>
    <w:rsid w:val="000E1B80"/>
    <w:rsid w:val="000E28D8"/>
    <w:rsid w:val="000E2D5D"/>
    <w:rsid w:val="000E31F1"/>
    <w:rsid w:val="000E4490"/>
    <w:rsid w:val="000F1007"/>
    <w:rsid w:val="000F19AC"/>
    <w:rsid w:val="000F1E9E"/>
    <w:rsid w:val="000F265D"/>
    <w:rsid w:val="000F2A9B"/>
    <w:rsid w:val="000F36D1"/>
    <w:rsid w:val="000F420E"/>
    <w:rsid w:val="000F4364"/>
    <w:rsid w:val="001004E1"/>
    <w:rsid w:val="001009A1"/>
    <w:rsid w:val="001018D6"/>
    <w:rsid w:val="00101C6C"/>
    <w:rsid w:val="00104829"/>
    <w:rsid w:val="001048F5"/>
    <w:rsid w:val="00104DD3"/>
    <w:rsid w:val="00111224"/>
    <w:rsid w:val="001115DE"/>
    <w:rsid w:val="001139B5"/>
    <w:rsid w:val="001148CE"/>
    <w:rsid w:val="00114E2F"/>
    <w:rsid w:val="00114E59"/>
    <w:rsid w:val="00115A17"/>
    <w:rsid w:val="00116B91"/>
    <w:rsid w:val="00116F69"/>
    <w:rsid w:val="001205E3"/>
    <w:rsid w:val="00121A25"/>
    <w:rsid w:val="00123B95"/>
    <w:rsid w:val="00124221"/>
    <w:rsid w:val="00124861"/>
    <w:rsid w:val="0013037C"/>
    <w:rsid w:val="001334D9"/>
    <w:rsid w:val="00140CD3"/>
    <w:rsid w:val="00141829"/>
    <w:rsid w:val="001434F9"/>
    <w:rsid w:val="00147246"/>
    <w:rsid w:val="00150533"/>
    <w:rsid w:val="0015131B"/>
    <w:rsid w:val="00151528"/>
    <w:rsid w:val="0015328C"/>
    <w:rsid w:val="0015348D"/>
    <w:rsid w:val="00154745"/>
    <w:rsid w:val="001552D7"/>
    <w:rsid w:val="001559F6"/>
    <w:rsid w:val="00156B3D"/>
    <w:rsid w:val="00160C81"/>
    <w:rsid w:val="0016121D"/>
    <w:rsid w:val="00163C78"/>
    <w:rsid w:val="00163F42"/>
    <w:rsid w:val="0016564D"/>
    <w:rsid w:val="00165E9A"/>
    <w:rsid w:val="001668BC"/>
    <w:rsid w:val="0016763F"/>
    <w:rsid w:val="00170BD2"/>
    <w:rsid w:val="0017199B"/>
    <w:rsid w:val="00171E5F"/>
    <w:rsid w:val="0017262F"/>
    <w:rsid w:val="00173691"/>
    <w:rsid w:val="00180506"/>
    <w:rsid w:val="00181092"/>
    <w:rsid w:val="0018110D"/>
    <w:rsid w:val="00182402"/>
    <w:rsid w:val="00183EDF"/>
    <w:rsid w:val="00190EC9"/>
    <w:rsid w:val="001939FE"/>
    <w:rsid w:val="00193CE1"/>
    <w:rsid w:val="00196320"/>
    <w:rsid w:val="001968F0"/>
    <w:rsid w:val="00196F24"/>
    <w:rsid w:val="001A19D1"/>
    <w:rsid w:val="001A59DF"/>
    <w:rsid w:val="001A6705"/>
    <w:rsid w:val="001B049A"/>
    <w:rsid w:val="001B0AF9"/>
    <w:rsid w:val="001B1199"/>
    <w:rsid w:val="001B1E48"/>
    <w:rsid w:val="001B20A4"/>
    <w:rsid w:val="001B27A2"/>
    <w:rsid w:val="001C0DDE"/>
    <w:rsid w:val="001C1427"/>
    <w:rsid w:val="001C3F72"/>
    <w:rsid w:val="001C40C6"/>
    <w:rsid w:val="001C5E04"/>
    <w:rsid w:val="001C7D8C"/>
    <w:rsid w:val="001C7FAE"/>
    <w:rsid w:val="001E2392"/>
    <w:rsid w:val="001E2A48"/>
    <w:rsid w:val="001E64A6"/>
    <w:rsid w:val="001F0405"/>
    <w:rsid w:val="001F04B2"/>
    <w:rsid w:val="001F0CBF"/>
    <w:rsid w:val="001F1D8C"/>
    <w:rsid w:val="001F5A6B"/>
    <w:rsid w:val="001F670D"/>
    <w:rsid w:val="002010DC"/>
    <w:rsid w:val="00204ACC"/>
    <w:rsid w:val="00211341"/>
    <w:rsid w:val="00211B9E"/>
    <w:rsid w:val="00214E3D"/>
    <w:rsid w:val="002200F3"/>
    <w:rsid w:val="00225135"/>
    <w:rsid w:val="002257E8"/>
    <w:rsid w:val="002276E6"/>
    <w:rsid w:val="00227BB1"/>
    <w:rsid w:val="00232B1A"/>
    <w:rsid w:val="00233B24"/>
    <w:rsid w:val="00240EDC"/>
    <w:rsid w:val="0024122B"/>
    <w:rsid w:val="00243601"/>
    <w:rsid w:val="002439AD"/>
    <w:rsid w:val="00244AF9"/>
    <w:rsid w:val="00251FF6"/>
    <w:rsid w:val="0025230C"/>
    <w:rsid w:val="00253C9E"/>
    <w:rsid w:val="00254791"/>
    <w:rsid w:val="0025543F"/>
    <w:rsid w:val="00256B7E"/>
    <w:rsid w:val="00261014"/>
    <w:rsid w:val="002705C9"/>
    <w:rsid w:val="00280E87"/>
    <w:rsid w:val="002844B6"/>
    <w:rsid w:val="002844D0"/>
    <w:rsid w:val="0028514C"/>
    <w:rsid w:val="00285562"/>
    <w:rsid w:val="00286AAF"/>
    <w:rsid w:val="00290C6F"/>
    <w:rsid w:val="00290E3D"/>
    <w:rsid w:val="002913E5"/>
    <w:rsid w:val="00291FFE"/>
    <w:rsid w:val="00292770"/>
    <w:rsid w:val="00292B32"/>
    <w:rsid w:val="0029595C"/>
    <w:rsid w:val="00297DF8"/>
    <w:rsid w:val="002A2264"/>
    <w:rsid w:val="002A23C5"/>
    <w:rsid w:val="002A4D17"/>
    <w:rsid w:val="002A6992"/>
    <w:rsid w:val="002A6A8E"/>
    <w:rsid w:val="002B1A7A"/>
    <w:rsid w:val="002B1C64"/>
    <w:rsid w:val="002B4F36"/>
    <w:rsid w:val="002B69A9"/>
    <w:rsid w:val="002B7893"/>
    <w:rsid w:val="002C3BE0"/>
    <w:rsid w:val="002C522C"/>
    <w:rsid w:val="002D15F1"/>
    <w:rsid w:val="002D20FD"/>
    <w:rsid w:val="002D236D"/>
    <w:rsid w:val="002D3499"/>
    <w:rsid w:val="002D3938"/>
    <w:rsid w:val="002D7494"/>
    <w:rsid w:val="002E460B"/>
    <w:rsid w:val="002E5401"/>
    <w:rsid w:val="002E59C1"/>
    <w:rsid w:val="002E65A5"/>
    <w:rsid w:val="002F150A"/>
    <w:rsid w:val="002F2657"/>
    <w:rsid w:val="002F314A"/>
    <w:rsid w:val="002F52C5"/>
    <w:rsid w:val="002F5363"/>
    <w:rsid w:val="00300952"/>
    <w:rsid w:val="003044FC"/>
    <w:rsid w:val="00305779"/>
    <w:rsid w:val="0031087C"/>
    <w:rsid w:val="00313DBA"/>
    <w:rsid w:val="00315FBF"/>
    <w:rsid w:val="00316920"/>
    <w:rsid w:val="00323A66"/>
    <w:rsid w:val="00323DE2"/>
    <w:rsid w:val="0032403E"/>
    <w:rsid w:val="00326E8F"/>
    <w:rsid w:val="00332159"/>
    <w:rsid w:val="00334ABC"/>
    <w:rsid w:val="00341E2B"/>
    <w:rsid w:val="003423A9"/>
    <w:rsid w:val="00343199"/>
    <w:rsid w:val="00343A46"/>
    <w:rsid w:val="0034541A"/>
    <w:rsid w:val="00345EEE"/>
    <w:rsid w:val="00346B09"/>
    <w:rsid w:val="00352576"/>
    <w:rsid w:val="00352B61"/>
    <w:rsid w:val="0035359C"/>
    <w:rsid w:val="00354845"/>
    <w:rsid w:val="00357634"/>
    <w:rsid w:val="00363364"/>
    <w:rsid w:val="0036433C"/>
    <w:rsid w:val="003644C3"/>
    <w:rsid w:val="00366490"/>
    <w:rsid w:val="00366F10"/>
    <w:rsid w:val="003672E3"/>
    <w:rsid w:val="00371AA6"/>
    <w:rsid w:val="003729B0"/>
    <w:rsid w:val="003771B9"/>
    <w:rsid w:val="00380CDD"/>
    <w:rsid w:val="003819BF"/>
    <w:rsid w:val="003822D0"/>
    <w:rsid w:val="00385938"/>
    <w:rsid w:val="00390CD0"/>
    <w:rsid w:val="003911FE"/>
    <w:rsid w:val="0039182B"/>
    <w:rsid w:val="00392F30"/>
    <w:rsid w:val="00392F72"/>
    <w:rsid w:val="00394B0A"/>
    <w:rsid w:val="003952A4"/>
    <w:rsid w:val="00396A28"/>
    <w:rsid w:val="00397D23"/>
    <w:rsid w:val="003A0B5C"/>
    <w:rsid w:val="003A1172"/>
    <w:rsid w:val="003A135E"/>
    <w:rsid w:val="003A1D0F"/>
    <w:rsid w:val="003A1E6D"/>
    <w:rsid w:val="003A248E"/>
    <w:rsid w:val="003A4621"/>
    <w:rsid w:val="003A7586"/>
    <w:rsid w:val="003B13E4"/>
    <w:rsid w:val="003B30EB"/>
    <w:rsid w:val="003B3BFC"/>
    <w:rsid w:val="003B77EA"/>
    <w:rsid w:val="003C1441"/>
    <w:rsid w:val="003C1E29"/>
    <w:rsid w:val="003C2750"/>
    <w:rsid w:val="003C2D45"/>
    <w:rsid w:val="003C3DEF"/>
    <w:rsid w:val="003C4E6E"/>
    <w:rsid w:val="003C5368"/>
    <w:rsid w:val="003D250C"/>
    <w:rsid w:val="003D4720"/>
    <w:rsid w:val="003D4917"/>
    <w:rsid w:val="003D4E02"/>
    <w:rsid w:val="003D5AC2"/>
    <w:rsid w:val="003D67A9"/>
    <w:rsid w:val="003D6CE7"/>
    <w:rsid w:val="003E2D49"/>
    <w:rsid w:val="003E2F64"/>
    <w:rsid w:val="003E361B"/>
    <w:rsid w:val="003E55EB"/>
    <w:rsid w:val="003E5B40"/>
    <w:rsid w:val="003E75B2"/>
    <w:rsid w:val="003F0043"/>
    <w:rsid w:val="003F01F0"/>
    <w:rsid w:val="003F07E1"/>
    <w:rsid w:val="003F0E01"/>
    <w:rsid w:val="003F1947"/>
    <w:rsid w:val="003F1FC4"/>
    <w:rsid w:val="003F274E"/>
    <w:rsid w:val="003F5085"/>
    <w:rsid w:val="003F7CCC"/>
    <w:rsid w:val="00403A10"/>
    <w:rsid w:val="00404A03"/>
    <w:rsid w:val="00405E7B"/>
    <w:rsid w:val="00410CF5"/>
    <w:rsid w:val="004123DC"/>
    <w:rsid w:val="004124A7"/>
    <w:rsid w:val="00415D8A"/>
    <w:rsid w:val="0042071A"/>
    <w:rsid w:val="00420819"/>
    <w:rsid w:val="0042297D"/>
    <w:rsid w:val="0042348D"/>
    <w:rsid w:val="004239ED"/>
    <w:rsid w:val="00423EE2"/>
    <w:rsid w:val="00425CE0"/>
    <w:rsid w:val="00425EEB"/>
    <w:rsid w:val="00430206"/>
    <w:rsid w:val="0043490A"/>
    <w:rsid w:val="0043742B"/>
    <w:rsid w:val="004407DB"/>
    <w:rsid w:val="00441BA3"/>
    <w:rsid w:val="00442970"/>
    <w:rsid w:val="004430AF"/>
    <w:rsid w:val="004443C8"/>
    <w:rsid w:val="00445657"/>
    <w:rsid w:val="00446201"/>
    <w:rsid w:val="00446495"/>
    <w:rsid w:val="00447CB6"/>
    <w:rsid w:val="004517E5"/>
    <w:rsid w:val="00451FF8"/>
    <w:rsid w:val="004535EE"/>
    <w:rsid w:val="00453756"/>
    <w:rsid w:val="00454B10"/>
    <w:rsid w:val="00454E14"/>
    <w:rsid w:val="00456FF9"/>
    <w:rsid w:val="004624B3"/>
    <w:rsid w:val="00463F1C"/>
    <w:rsid w:val="00465C93"/>
    <w:rsid w:val="004761AA"/>
    <w:rsid w:val="004845C2"/>
    <w:rsid w:val="0049313F"/>
    <w:rsid w:val="00493F53"/>
    <w:rsid w:val="004961A5"/>
    <w:rsid w:val="00497463"/>
    <w:rsid w:val="0049775B"/>
    <w:rsid w:val="004A04CC"/>
    <w:rsid w:val="004A419D"/>
    <w:rsid w:val="004A628C"/>
    <w:rsid w:val="004A6776"/>
    <w:rsid w:val="004A77E3"/>
    <w:rsid w:val="004A7CBB"/>
    <w:rsid w:val="004B1350"/>
    <w:rsid w:val="004B2A05"/>
    <w:rsid w:val="004B64CE"/>
    <w:rsid w:val="004B73A2"/>
    <w:rsid w:val="004C2284"/>
    <w:rsid w:val="004C26B2"/>
    <w:rsid w:val="004C2769"/>
    <w:rsid w:val="004C40BA"/>
    <w:rsid w:val="004C43F1"/>
    <w:rsid w:val="004C671C"/>
    <w:rsid w:val="004D03E6"/>
    <w:rsid w:val="004D13AF"/>
    <w:rsid w:val="004D24EF"/>
    <w:rsid w:val="004D2726"/>
    <w:rsid w:val="004D2FA1"/>
    <w:rsid w:val="004D3F58"/>
    <w:rsid w:val="004D6F40"/>
    <w:rsid w:val="004E1097"/>
    <w:rsid w:val="004E3842"/>
    <w:rsid w:val="004E47D0"/>
    <w:rsid w:val="004E5CE0"/>
    <w:rsid w:val="004E5F29"/>
    <w:rsid w:val="004F3169"/>
    <w:rsid w:val="004F31D7"/>
    <w:rsid w:val="004F4488"/>
    <w:rsid w:val="004F48D0"/>
    <w:rsid w:val="004F6C65"/>
    <w:rsid w:val="004F755C"/>
    <w:rsid w:val="00500731"/>
    <w:rsid w:val="00500EEB"/>
    <w:rsid w:val="00501F98"/>
    <w:rsid w:val="00503EA1"/>
    <w:rsid w:val="0051321E"/>
    <w:rsid w:val="00515609"/>
    <w:rsid w:val="00515961"/>
    <w:rsid w:val="005161AA"/>
    <w:rsid w:val="00516B33"/>
    <w:rsid w:val="005179C6"/>
    <w:rsid w:val="00521237"/>
    <w:rsid w:val="0052656D"/>
    <w:rsid w:val="00526620"/>
    <w:rsid w:val="00534182"/>
    <w:rsid w:val="00534245"/>
    <w:rsid w:val="0054213A"/>
    <w:rsid w:val="0054254B"/>
    <w:rsid w:val="00543068"/>
    <w:rsid w:val="00544E4C"/>
    <w:rsid w:val="00545538"/>
    <w:rsid w:val="00546B41"/>
    <w:rsid w:val="00546D65"/>
    <w:rsid w:val="0054792D"/>
    <w:rsid w:val="00552200"/>
    <w:rsid w:val="00552D55"/>
    <w:rsid w:val="00553246"/>
    <w:rsid w:val="005538E6"/>
    <w:rsid w:val="00561471"/>
    <w:rsid w:val="00561DC9"/>
    <w:rsid w:val="005631C8"/>
    <w:rsid w:val="0056786E"/>
    <w:rsid w:val="00573395"/>
    <w:rsid w:val="005736D0"/>
    <w:rsid w:val="00574AE9"/>
    <w:rsid w:val="00575417"/>
    <w:rsid w:val="0057595C"/>
    <w:rsid w:val="00576A2C"/>
    <w:rsid w:val="00581CE6"/>
    <w:rsid w:val="005843D4"/>
    <w:rsid w:val="00587929"/>
    <w:rsid w:val="00591FE0"/>
    <w:rsid w:val="0059231F"/>
    <w:rsid w:val="005A0269"/>
    <w:rsid w:val="005A0EC5"/>
    <w:rsid w:val="005A15BD"/>
    <w:rsid w:val="005A2884"/>
    <w:rsid w:val="005A4E34"/>
    <w:rsid w:val="005A7056"/>
    <w:rsid w:val="005A79C1"/>
    <w:rsid w:val="005B287A"/>
    <w:rsid w:val="005B28EC"/>
    <w:rsid w:val="005B34FF"/>
    <w:rsid w:val="005B3866"/>
    <w:rsid w:val="005B3936"/>
    <w:rsid w:val="005B43C6"/>
    <w:rsid w:val="005B4BCF"/>
    <w:rsid w:val="005C221F"/>
    <w:rsid w:val="005C526E"/>
    <w:rsid w:val="005C5D34"/>
    <w:rsid w:val="005D05D4"/>
    <w:rsid w:val="005D2EE5"/>
    <w:rsid w:val="005D390C"/>
    <w:rsid w:val="005D4605"/>
    <w:rsid w:val="005D5B39"/>
    <w:rsid w:val="005D6388"/>
    <w:rsid w:val="005D7AAB"/>
    <w:rsid w:val="005E05E4"/>
    <w:rsid w:val="005E2A4B"/>
    <w:rsid w:val="005E52CF"/>
    <w:rsid w:val="005E6738"/>
    <w:rsid w:val="005F19BD"/>
    <w:rsid w:val="005F4043"/>
    <w:rsid w:val="005F4AFD"/>
    <w:rsid w:val="005F63FB"/>
    <w:rsid w:val="006023D9"/>
    <w:rsid w:val="00602A0F"/>
    <w:rsid w:val="00602ABB"/>
    <w:rsid w:val="00603B3B"/>
    <w:rsid w:val="00604ED2"/>
    <w:rsid w:val="00606D7C"/>
    <w:rsid w:val="006131BC"/>
    <w:rsid w:val="00614748"/>
    <w:rsid w:val="0061690B"/>
    <w:rsid w:val="00617775"/>
    <w:rsid w:val="00621BF2"/>
    <w:rsid w:val="006242D7"/>
    <w:rsid w:val="00624ECD"/>
    <w:rsid w:val="00630E25"/>
    <w:rsid w:val="006339E7"/>
    <w:rsid w:val="00633E7D"/>
    <w:rsid w:val="006361DC"/>
    <w:rsid w:val="0063797A"/>
    <w:rsid w:val="0064081A"/>
    <w:rsid w:val="00642257"/>
    <w:rsid w:val="00643FC7"/>
    <w:rsid w:val="006441AE"/>
    <w:rsid w:val="0064543C"/>
    <w:rsid w:val="00645557"/>
    <w:rsid w:val="00646366"/>
    <w:rsid w:val="00650E37"/>
    <w:rsid w:val="006515AC"/>
    <w:rsid w:val="00651B52"/>
    <w:rsid w:val="00654062"/>
    <w:rsid w:val="00657045"/>
    <w:rsid w:val="00662701"/>
    <w:rsid w:val="006657E7"/>
    <w:rsid w:val="00667DE4"/>
    <w:rsid w:val="006707A9"/>
    <w:rsid w:val="00670B3A"/>
    <w:rsid w:val="006731B4"/>
    <w:rsid w:val="00677597"/>
    <w:rsid w:val="006806EF"/>
    <w:rsid w:val="00682259"/>
    <w:rsid w:val="0068385C"/>
    <w:rsid w:val="00686F3B"/>
    <w:rsid w:val="00691502"/>
    <w:rsid w:val="00693A72"/>
    <w:rsid w:val="00694753"/>
    <w:rsid w:val="00697144"/>
    <w:rsid w:val="006A4F0C"/>
    <w:rsid w:val="006A756A"/>
    <w:rsid w:val="006B3424"/>
    <w:rsid w:val="006B4B5F"/>
    <w:rsid w:val="006B784E"/>
    <w:rsid w:val="006B78F7"/>
    <w:rsid w:val="006B7E4E"/>
    <w:rsid w:val="006B7F42"/>
    <w:rsid w:val="006C0919"/>
    <w:rsid w:val="006C395D"/>
    <w:rsid w:val="006C5907"/>
    <w:rsid w:val="006C5B93"/>
    <w:rsid w:val="006C6068"/>
    <w:rsid w:val="006C7529"/>
    <w:rsid w:val="006D0873"/>
    <w:rsid w:val="006D3FEF"/>
    <w:rsid w:val="006D4108"/>
    <w:rsid w:val="006D4C1F"/>
    <w:rsid w:val="006D721F"/>
    <w:rsid w:val="006E0631"/>
    <w:rsid w:val="006E0A81"/>
    <w:rsid w:val="006E0BD4"/>
    <w:rsid w:val="006E6213"/>
    <w:rsid w:val="006F0DDA"/>
    <w:rsid w:val="006F695E"/>
    <w:rsid w:val="006F77DA"/>
    <w:rsid w:val="00700123"/>
    <w:rsid w:val="00701624"/>
    <w:rsid w:val="00703CAD"/>
    <w:rsid w:val="00704439"/>
    <w:rsid w:val="0071204E"/>
    <w:rsid w:val="007124D8"/>
    <w:rsid w:val="00712522"/>
    <w:rsid w:val="0071475B"/>
    <w:rsid w:val="00714FE1"/>
    <w:rsid w:val="007208A1"/>
    <w:rsid w:val="00722AC5"/>
    <w:rsid w:val="007251BD"/>
    <w:rsid w:val="00727386"/>
    <w:rsid w:val="007308E1"/>
    <w:rsid w:val="00735A13"/>
    <w:rsid w:val="0073633D"/>
    <w:rsid w:val="00743BEA"/>
    <w:rsid w:val="00744E85"/>
    <w:rsid w:val="00745402"/>
    <w:rsid w:val="00750BE8"/>
    <w:rsid w:val="00750E6D"/>
    <w:rsid w:val="00750F96"/>
    <w:rsid w:val="00751821"/>
    <w:rsid w:val="00751DC1"/>
    <w:rsid w:val="0075306F"/>
    <w:rsid w:val="00753148"/>
    <w:rsid w:val="00753586"/>
    <w:rsid w:val="00755403"/>
    <w:rsid w:val="00760069"/>
    <w:rsid w:val="00760C9C"/>
    <w:rsid w:val="0076338B"/>
    <w:rsid w:val="0077034C"/>
    <w:rsid w:val="00772975"/>
    <w:rsid w:val="00772B25"/>
    <w:rsid w:val="00774E68"/>
    <w:rsid w:val="00775538"/>
    <w:rsid w:val="007766FF"/>
    <w:rsid w:val="00780C98"/>
    <w:rsid w:val="007815DD"/>
    <w:rsid w:val="007827A6"/>
    <w:rsid w:val="007846AD"/>
    <w:rsid w:val="007849C0"/>
    <w:rsid w:val="00792005"/>
    <w:rsid w:val="007955C1"/>
    <w:rsid w:val="007965D6"/>
    <w:rsid w:val="00796969"/>
    <w:rsid w:val="007A0AC6"/>
    <w:rsid w:val="007A31E2"/>
    <w:rsid w:val="007A7DD7"/>
    <w:rsid w:val="007B1111"/>
    <w:rsid w:val="007B200E"/>
    <w:rsid w:val="007B6F0E"/>
    <w:rsid w:val="007B7432"/>
    <w:rsid w:val="007B77C2"/>
    <w:rsid w:val="007D251E"/>
    <w:rsid w:val="007D36C1"/>
    <w:rsid w:val="007D75A6"/>
    <w:rsid w:val="007E0B52"/>
    <w:rsid w:val="007E24E5"/>
    <w:rsid w:val="007E3054"/>
    <w:rsid w:val="007E3657"/>
    <w:rsid w:val="007E45DA"/>
    <w:rsid w:val="007F0789"/>
    <w:rsid w:val="007F0801"/>
    <w:rsid w:val="007F1FAA"/>
    <w:rsid w:val="007F22FE"/>
    <w:rsid w:val="007F4840"/>
    <w:rsid w:val="007F660E"/>
    <w:rsid w:val="0080364A"/>
    <w:rsid w:val="00803C76"/>
    <w:rsid w:val="0080501B"/>
    <w:rsid w:val="008059E8"/>
    <w:rsid w:val="00806354"/>
    <w:rsid w:val="00806D9F"/>
    <w:rsid w:val="00810216"/>
    <w:rsid w:val="00810676"/>
    <w:rsid w:val="00811B40"/>
    <w:rsid w:val="0081285A"/>
    <w:rsid w:val="0081460E"/>
    <w:rsid w:val="00817B11"/>
    <w:rsid w:val="00821A45"/>
    <w:rsid w:val="00823121"/>
    <w:rsid w:val="0082514C"/>
    <w:rsid w:val="00830619"/>
    <w:rsid w:val="0083492C"/>
    <w:rsid w:val="00835CB1"/>
    <w:rsid w:val="008378AE"/>
    <w:rsid w:val="00840746"/>
    <w:rsid w:val="0084136B"/>
    <w:rsid w:val="00844C5C"/>
    <w:rsid w:val="00846D58"/>
    <w:rsid w:val="00851DAA"/>
    <w:rsid w:val="008571A1"/>
    <w:rsid w:val="00863AD5"/>
    <w:rsid w:val="00863E9A"/>
    <w:rsid w:val="00866908"/>
    <w:rsid w:val="00867128"/>
    <w:rsid w:val="0086722C"/>
    <w:rsid w:val="00867BC7"/>
    <w:rsid w:val="008701E4"/>
    <w:rsid w:val="008707B6"/>
    <w:rsid w:val="00871CCA"/>
    <w:rsid w:val="00872B78"/>
    <w:rsid w:val="00880A51"/>
    <w:rsid w:val="00880BB6"/>
    <w:rsid w:val="00883E9D"/>
    <w:rsid w:val="00884475"/>
    <w:rsid w:val="00886BCF"/>
    <w:rsid w:val="008871CE"/>
    <w:rsid w:val="0089179F"/>
    <w:rsid w:val="0089239E"/>
    <w:rsid w:val="00894BA2"/>
    <w:rsid w:val="00895E4C"/>
    <w:rsid w:val="0089699F"/>
    <w:rsid w:val="00896D11"/>
    <w:rsid w:val="00897B75"/>
    <w:rsid w:val="008A1276"/>
    <w:rsid w:val="008A1857"/>
    <w:rsid w:val="008A445C"/>
    <w:rsid w:val="008A7D59"/>
    <w:rsid w:val="008B0CC2"/>
    <w:rsid w:val="008B30C0"/>
    <w:rsid w:val="008B3689"/>
    <w:rsid w:val="008B5781"/>
    <w:rsid w:val="008B645B"/>
    <w:rsid w:val="008C22BE"/>
    <w:rsid w:val="008C2841"/>
    <w:rsid w:val="008D2636"/>
    <w:rsid w:val="008D6B9A"/>
    <w:rsid w:val="008E1A98"/>
    <w:rsid w:val="008E77F9"/>
    <w:rsid w:val="008E7BDF"/>
    <w:rsid w:val="00900E08"/>
    <w:rsid w:val="00903A40"/>
    <w:rsid w:val="0090753F"/>
    <w:rsid w:val="00907BC4"/>
    <w:rsid w:val="00912C0C"/>
    <w:rsid w:val="00912C11"/>
    <w:rsid w:val="00913406"/>
    <w:rsid w:val="00915BCD"/>
    <w:rsid w:val="00916D78"/>
    <w:rsid w:val="0092008D"/>
    <w:rsid w:val="00920294"/>
    <w:rsid w:val="00920587"/>
    <w:rsid w:val="00922043"/>
    <w:rsid w:val="009229B1"/>
    <w:rsid w:val="00922B72"/>
    <w:rsid w:val="00922E04"/>
    <w:rsid w:val="0092378C"/>
    <w:rsid w:val="00926283"/>
    <w:rsid w:val="00927646"/>
    <w:rsid w:val="0093461E"/>
    <w:rsid w:val="00934FE5"/>
    <w:rsid w:val="00936BF8"/>
    <w:rsid w:val="00937845"/>
    <w:rsid w:val="0094069F"/>
    <w:rsid w:val="00941247"/>
    <w:rsid w:val="009420FC"/>
    <w:rsid w:val="00952B0C"/>
    <w:rsid w:val="00952BE5"/>
    <w:rsid w:val="00956963"/>
    <w:rsid w:val="00962066"/>
    <w:rsid w:val="00963073"/>
    <w:rsid w:val="009664DD"/>
    <w:rsid w:val="0097008F"/>
    <w:rsid w:val="00970B63"/>
    <w:rsid w:val="00971491"/>
    <w:rsid w:val="0097179A"/>
    <w:rsid w:val="00972C51"/>
    <w:rsid w:val="009734E5"/>
    <w:rsid w:val="00973653"/>
    <w:rsid w:val="00974894"/>
    <w:rsid w:val="00981D56"/>
    <w:rsid w:val="00991FD5"/>
    <w:rsid w:val="00993339"/>
    <w:rsid w:val="00993C85"/>
    <w:rsid w:val="00995849"/>
    <w:rsid w:val="009A1D6C"/>
    <w:rsid w:val="009A242D"/>
    <w:rsid w:val="009A7C51"/>
    <w:rsid w:val="009B54CF"/>
    <w:rsid w:val="009B552D"/>
    <w:rsid w:val="009B7416"/>
    <w:rsid w:val="009C1076"/>
    <w:rsid w:val="009C435B"/>
    <w:rsid w:val="009C5F3C"/>
    <w:rsid w:val="009C6D06"/>
    <w:rsid w:val="009D1728"/>
    <w:rsid w:val="009D36A7"/>
    <w:rsid w:val="009E1A91"/>
    <w:rsid w:val="009F0B81"/>
    <w:rsid w:val="009F60AB"/>
    <w:rsid w:val="009F6A6D"/>
    <w:rsid w:val="00A00B9D"/>
    <w:rsid w:val="00A0216E"/>
    <w:rsid w:val="00A02980"/>
    <w:rsid w:val="00A060C2"/>
    <w:rsid w:val="00A06E31"/>
    <w:rsid w:val="00A073B3"/>
    <w:rsid w:val="00A14908"/>
    <w:rsid w:val="00A14F5F"/>
    <w:rsid w:val="00A16A25"/>
    <w:rsid w:val="00A17C1D"/>
    <w:rsid w:val="00A21669"/>
    <w:rsid w:val="00A24B8E"/>
    <w:rsid w:val="00A25C2A"/>
    <w:rsid w:val="00A26392"/>
    <w:rsid w:val="00A265BB"/>
    <w:rsid w:val="00A31264"/>
    <w:rsid w:val="00A31486"/>
    <w:rsid w:val="00A32822"/>
    <w:rsid w:val="00A36E3F"/>
    <w:rsid w:val="00A4051B"/>
    <w:rsid w:val="00A4215F"/>
    <w:rsid w:val="00A44B15"/>
    <w:rsid w:val="00A45540"/>
    <w:rsid w:val="00A505B1"/>
    <w:rsid w:val="00A519FB"/>
    <w:rsid w:val="00A538B9"/>
    <w:rsid w:val="00A53CEF"/>
    <w:rsid w:val="00A57102"/>
    <w:rsid w:val="00A6189F"/>
    <w:rsid w:val="00A62512"/>
    <w:rsid w:val="00A62629"/>
    <w:rsid w:val="00A64479"/>
    <w:rsid w:val="00A67BEF"/>
    <w:rsid w:val="00A71D2A"/>
    <w:rsid w:val="00A72B02"/>
    <w:rsid w:val="00A75AD7"/>
    <w:rsid w:val="00A77653"/>
    <w:rsid w:val="00A8045B"/>
    <w:rsid w:val="00A83D37"/>
    <w:rsid w:val="00A869C0"/>
    <w:rsid w:val="00A8736B"/>
    <w:rsid w:val="00A87875"/>
    <w:rsid w:val="00A9030A"/>
    <w:rsid w:val="00A95AC6"/>
    <w:rsid w:val="00AA0A2C"/>
    <w:rsid w:val="00AA1C9F"/>
    <w:rsid w:val="00AA2425"/>
    <w:rsid w:val="00AA3768"/>
    <w:rsid w:val="00AA4452"/>
    <w:rsid w:val="00AA589F"/>
    <w:rsid w:val="00AA60A4"/>
    <w:rsid w:val="00AA7387"/>
    <w:rsid w:val="00AB17EF"/>
    <w:rsid w:val="00AB187C"/>
    <w:rsid w:val="00AB3923"/>
    <w:rsid w:val="00AB6358"/>
    <w:rsid w:val="00AC0462"/>
    <w:rsid w:val="00AC0914"/>
    <w:rsid w:val="00AC542B"/>
    <w:rsid w:val="00AC67D3"/>
    <w:rsid w:val="00AD5936"/>
    <w:rsid w:val="00AD7D74"/>
    <w:rsid w:val="00AE27AE"/>
    <w:rsid w:val="00AE50B5"/>
    <w:rsid w:val="00AE5A7A"/>
    <w:rsid w:val="00AE711A"/>
    <w:rsid w:val="00AF08B9"/>
    <w:rsid w:val="00AF2C56"/>
    <w:rsid w:val="00AF359E"/>
    <w:rsid w:val="00AF6D3E"/>
    <w:rsid w:val="00AF7026"/>
    <w:rsid w:val="00B023EA"/>
    <w:rsid w:val="00B073C1"/>
    <w:rsid w:val="00B13E65"/>
    <w:rsid w:val="00B14339"/>
    <w:rsid w:val="00B14C2F"/>
    <w:rsid w:val="00B15B71"/>
    <w:rsid w:val="00B16C9F"/>
    <w:rsid w:val="00B21E96"/>
    <w:rsid w:val="00B27492"/>
    <w:rsid w:val="00B31C5A"/>
    <w:rsid w:val="00B34641"/>
    <w:rsid w:val="00B349FE"/>
    <w:rsid w:val="00B41E42"/>
    <w:rsid w:val="00B45826"/>
    <w:rsid w:val="00B47776"/>
    <w:rsid w:val="00B52CD0"/>
    <w:rsid w:val="00B5570A"/>
    <w:rsid w:val="00B609CC"/>
    <w:rsid w:val="00B677FE"/>
    <w:rsid w:val="00B67BF2"/>
    <w:rsid w:val="00B67D8F"/>
    <w:rsid w:val="00B72AF0"/>
    <w:rsid w:val="00B746EB"/>
    <w:rsid w:val="00B76049"/>
    <w:rsid w:val="00B8265D"/>
    <w:rsid w:val="00B83343"/>
    <w:rsid w:val="00B83F9F"/>
    <w:rsid w:val="00B86D8B"/>
    <w:rsid w:val="00B8766B"/>
    <w:rsid w:val="00B91668"/>
    <w:rsid w:val="00B91C97"/>
    <w:rsid w:val="00B92976"/>
    <w:rsid w:val="00B93FF0"/>
    <w:rsid w:val="00B9403D"/>
    <w:rsid w:val="00B95B8B"/>
    <w:rsid w:val="00BA1CA4"/>
    <w:rsid w:val="00BA2135"/>
    <w:rsid w:val="00BA3547"/>
    <w:rsid w:val="00BA4E5F"/>
    <w:rsid w:val="00BA4E62"/>
    <w:rsid w:val="00BA5186"/>
    <w:rsid w:val="00BB3816"/>
    <w:rsid w:val="00BC3188"/>
    <w:rsid w:val="00BC3197"/>
    <w:rsid w:val="00BC4046"/>
    <w:rsid w:val="00BD2DD8"/>
    <w:rsid w:val="00BD3B91"/>
    <w:rsid w:val="00BD4432"/>
    <w:rsid w:val="00BD55B1"/>
    <w:rsid w:val="00BD7ED9"/>
    <w:rsid w:val="00BE0481"/>
    <w:rsid w:val="00BE493D"/>
    <w:rsid w:val="00BF0E24"/>
    <w:rsid w:val="00BF16F6"/>
    <w:rsid w:val="00BF2DEF"/>
    <w:rsid w:val="00BF6BA8"/>
    <w:rsid w:val="00BF73E6"/>
    <w:rsid w:val="00C01B91"/>
    <w:rsid w:val="00C01CAF"/>
    <w:rsid w:val="00C02116"/>
    <w:rsid w:val="00C041CB"/>
    <w:rsid w:val="00C044AF"/>
    <w:rsid w:val="00C0519A"/>
    <w:rsid w:val="00C144A3"/>
    <w:rsid w:val="00C16991"/>
    <w:rsid w:val="00C16DDB"/>
    <w:rsid w:val="00C204FD"/>
    <w:rsid w:val="00C205FA"/>
    <w:rsid w:val="00C211F4"/>
    <w:rsid w:val="00C218EF"/>
    <w:rsid w:val="00C22EC6"/>
    <w:rsid w:val="00C2460C"/>
    <w:rsid w:val="00C30782"/>
    <w:rsid w:val="00C30C61"/>
    <w:rsid w:val="00C31015"/>
    <w:rsid w:val="00C31DEE"/>
    <w:rsid w:val="00C323A7"/>
    <w:rsid w:val="00C36FA2"/>
    <w:rsid w:val="00C47D83"/>
    <w:rsid w:val="00C53009"/>
    <w:rsid w:val="00C54BB4"/>
    <w:rsid w:val="00C622C8"/>
    <w:rsid w:val="00C635D2"/>
    <w:rsid w:val="00C658C5"/>
    <w:rsid w:val="00C66E81"/>
    <w:rsid w:val="00C67E89"/>
    <w:rsid w:val="00C72A3C"/>
    <w:rsid w:val="00C73808"/>
    <w:rsid w:val="00C73A0F"/>
    <w:rsid w:val="00C74C72"/>
    <w:rsid w:val="00C7720F"/>
    <w:rsid w:val="00C774F1"/>
    <w:rsid w:val="00C80225"/>
    <w:rsid w:val="00C80AA0"/>
    <w:rsid w:val="00C90A93"/>
    <w:rsid w:val="00C91CBD"/>
    <w:rsid w:val="00C92A3D"/>
    <w:rsid w:val="00C93B30"/>
    <w:rsid w:val="00C9573A"/>
    <w:rsid w:val="00C95D22"/>
    <w:rsid w:val="00C96B67"/>
    <w:rsid w:val="00C97D3E"/>
    <w:rsid w:val="00CA1D56"/>
    <w:rsid w:val="00CA46B4"/>
    <w:rsid w:val="00CB0177"/>
    <w:rsid w:val="00CB1F58"/>
    <w:rsid w:val="00CB40C7"/>
    <w:rsid w:val="00CB521D"/>
    <w:rsid w:val="00CB625F"/>
    <w:rsid w:val="00CB6D05"/>
    <w:rsid w:val="00CC0BAF"/>
    <w:rsid w:val="00CD09E8"/>
    <w:rsid w:val="00CD1652"/>
    <w:rsid w:val="00CD2A78"/>
    <w:rsid w:val="00CD4B02"/>
    <w:rsid w:val="00CD5C05"/>
    <w:rsid w:val="00CD6A32"/>
    <w:rsid w:val="00CE051C"/>
    <w:rsid w:val="00CE0FC7"/>
    <w:rsid w:val="00CE1257"/>
    <w:rsid w:val="00CE1681"/>
    <w:rsid w:val="00CE2E5C"/>
    <w:rsid w:val="00CE4498"/>
    <w:rsid w:val="00CE4859"/>
    <w:rsid w:val="00CE7641"/>
    <w:rsid w:val="00CF0981"/>
    <w:rsid w:val="00CF3485"/>
    <w:rsid w:val="00CF4362"/>
    <w:rsid w:val="00CF65D6"/>
    <w:rsid w:val="00D014FA"/>
    <w:rsid w:val="00D01ACF"/>
    <w:rsid w:val="00D01BCC"/>
    <w:rsid w:val="00D03B44"/>
    <w:rsid w:val="00D06FC8"/>
    <w:rsid w:val="00D0758D"/>
    <w:rsid w:val="00D12004"/>
    <w:rsid w:val="00D13A2A"/>
    <w:rsid w:val="00D15F1D"/>
    <w:rsid w:val="00D16F4D"/>
    <w:rsid w:val="00D224A9"/>
    <w:rsid w:val="00D24854"/>
    <w:rsid w:val="00D3055F"/>
    <w:rsid w:val="00D32244"/>
    <w:rsid w:val="00D3381C"/>
    <w:rsid w:val="00D35F35"/>
    <w:rsid w:val="00D4075A"/>
    <w:rsid w:val="00D40B38"/>
    <w:rsid w:val="00D4513F"/>
    <w:rsid w:val="00D45E48"/>
    <w:rsid w:val="00D47C97"/>
    <w:rsid w:val="00D508C7"/>
    <w:rsid w:val="00D50BE8"/>
    <w:rsid w:val="00D53B6B"/>
    <w:rsid w:val="00D571C0"/>
    <w:rsid w:val="00D60E6A"/>
    <w:rsid w:val="00D62B4C"/>
    <w:rsid w:val="00D630C7"/>
    <w:rsid w:val="00D63478"/>
    <w:rsid w:val="00D64192"/>
    <w:rsid w:val="00D64F7F"/>
    <w:rsid w:val="00D652AF"/>
    <w:rsid w:val="00D702AE"/>
    <w:rsid w:val="00D7791D"/>
    <w:rsid w:val="00D802A5"/>
    <w:rsid w:val="00D80A6F"/>
    <w:rsid w:val="00D8158C"/>
    <w:rsid w:val="00D84BA7"/>
    <w:rsid w:val="00D84F65"/>
    <w:rsid w:val="00D85F55"/>
    <w:rsid w:val="00D865DF"/>
    <w:rsid w:val="00D8799E"/>
    <w:rsid w:val="00D91821"/>
    <w:rsid w:val="00D91C25"/>
    <w:rsid w:val="00D931F2"/>
    <w:rsid w:val="00D965C1"/>
    <w:rsid w:val="00DA07B1"/>
    <w:rsid w:val="00DA1863"/>
    <w:rsid w:val="00DA38C8"/>
    <w:rsid w:val="00DA405B"/>
    <w:rsid w:val="00DA739E"/>
    <w:rsid w:val="00DB0AEA"/>
    <w:rsid w:val="00DB6911"/>
    <w:rsid w:val="00DB6CEF"/>
    <w:rsid w:val="00DB7D51"/>
    <w:rsid w:val="00DC1C07"/>
    <w:rsid w:val="00DC7333"/>
    <w:rsid w:val="00DD43EC"/>
    <w:rsid w:val="00DE2994"/>
    <w:rsid w:val="00DE3543"/>
    <w:rsid w:val="00DE447C"/>
    <w:rsid w:val="00DE65DD"/>
    <w:rsid w:val="00DF0CCC"/>
    <w:rsid w:val="00DF1827"/>
    <w:rsid w:val="00DF509E"/>
    <w:rsid w:val="00E00249"/>
    <w:rsid w:val="00E013EE"/>
    <w:rsid w:val="00E040A3"/>
    <w:rsid w:val="00E0622D"/>
    <w:rsid w:val="00E068B1"/>
    <w:rsid w:val="00E1051C"/>
    <w:rsid w:val="00E14B75"/>
    <w:rsid w:val="00E15AF1"/>
    <w:rsid w:val="00E160DC"/>
    <w:rsid w:val="00E16506"/>
    <w:rsid w:val="00E20436"/>
    <w:rsid w:val="00E223A8"/>
    <w:rsid w:val="00E23A5F"/>
    <w:rsid w:val="00E23BA8"/>
    <w:rsid w:val="00E24AAF"/>
    <w:rsid w:val="00E27EEA"/>
    <w:rsid w:val="00E31788"/>
    <w:rsid w:val="00E32D26"/>
    <w:rsid w:val="00E33C62"/>
    <w:rsid w:val="00E33DE7"/>
    <w:rsid w:val="00E343EF"/>
    <w:rsid w:val="00E37978"/>
    <w:rsid w:val="00E40B69"/>
    <w:rsid w:val="00E449F9"/>
    <w:rsid w:val="00E46C10"/>
    <w:rsid w:val="00E50ADE"/>
    <w:rsid w:val="00E51DA9"/>
    <w:rsid w:val="00E52662"/>
    <w:rsid w:val="00E5530E"/>
    <w:rsid w:val="00E562FF"/>
    <w:rsid w:val="00E57EF7"/>
    <w:rsid w:val="00E616D3"/>
    <w:rsid w:val="00E63940"/>
    <w:rsid w:val="00E66C3B"/>
    <w:rsid w:val="00E71A2D"/>
    <w:rsid w:val="00E71FAE"/>
    <w:rsid w:val="00E72C41"/>
    <w:rsid w:val="00E77C9D"/>
    <w:rsid w:val="00E80216"/>
    <w:rsid w:val="00E8083E"/>
    <w:rsid w:val="00E8104C"/>
    <w:rsid w:val="00E824FE"/>
    <w:rsid w:val="00E83922"/>
    <w:rsid w:val="00E857C5"/>
    <w:rsid w:val="00E87653"/>
    <w:rsid w:val="00E90834"/>
    <w:rsid w:val="00E90AE7"/>
    <w:rsid w:val="00E9385E"/>
    <w:rsid w:val="00E9768E"/>
    <w:rsid w:val="00EA0641"/>
    <w:rsid w:val="00EA1686"/>
    <w:rsid w:val="00EA35A1"/>
    <w:rsid w:val="00EA5BF0"/>
    <w:rsid w:val="00EB19BD"/>
    <w:rsid w:val="00EB3B69"/>
    <w:rsid w:val="00EB6182"/>
    <w:rsid w:val="00EB7802"/>
    <w:rsid w:val="00EB7A1C"/>
    <w:rsid w:val="00EC2152"/>
    <w:rsid w:val="00EC24B8"/>
    <w:rsid w:val="00EC46D9"/>
    <w:rsid w:val="00EC5121"/>
    <w:rsid w:val="00EC666D"/>
    <w:rsid w:val="00EC6858"/>
    <w:rsid w:val="00EC7A1C"/>
    <w:rsid w:val="00ED0410"/>
    <w:rsid w:val="00ED3DD3"/>
    <w:rsid w:val="00EE147F"/>
    <w:rsid w:val="00EE79C9"/>
    <w:rsid w:val="00EF3A42"/>
    <w:rsid w:val="00EF5451"/>
    <w:rsid w:val="00EF5CCF"/>
    <w:rsid w:val="00EF68EB"/>
    <w:rsid w:val="00EF7EB5"/>
    <w:rsid w:val="00F00F1F"/>
    <w:rsid w:val="00F04556"/>
    <w:rsid w:val="00F04A24"/>
    <w:rsid w:val="00F12CB7"/>
    <w:rsid w:val="00F1379F"/>
    <w:rsid w:val="00F15EF3"/>
    <w:rsid w:val="00F17175"/>
    <w:rsid w:val="00F21F27"/>
    <w:rsid w:val="00F242D5"/>
    <w:rsid w:val="00F24B5E"/>
    <w:rsid w:val="00F25373"/>
    <w:rsid w:val="00F31811"/>
    <w:rsid w:val="00F36706"/>
    <w:rsid w:val="00F375F1"/>
    <w:rsid w:val="00F379AD"/>
    <w:rsid w:val="00F4049B"/>
    <w:rsid w:val="00F40604"/>
    <w:rsid w:val="00F42BFC"/>
    <w:rsid w:val="00F464A7"/>
    <w:rsid w:val="00F512AE"/>
    <w:rsid w:val="00F52004"/>
    <w:rsid w:val="00F53108"/>
    <w:rsid w:val="00F5474A"/>
    <w:rsid w:val="00F55E03"/>
    <w:rsid w:val="00F56734"/>
    <w:rsid w:val="00F60EDF"/>
    <w:rsid w:val="00F64B10"/>
    <w:rsid w:val="00F66091"/>
    <w:rsid w:val="00F7520C"/>
    <w:rsid w:val="00F75669"/>
    <w:rsid w:val="00F75724"/>
    <w:rsid w:val="00F77249"/>
    <w:rsid w:val="00F776F6"/>
    <w:rsid w:val="00F77978"/>
    <w:rsid w:val="00F81500"/>
    <w:rsid w:val="00F815ED"/>
    <w:rsid w:val="00F8194F"/>
    <w:rsid w:val="00F828D9"/>
    <w:rsid w:val="00F828EC"/>
    <w:rsid w:val="00F82DA9"/>
    <w:rsid w:val="00F84FDE"/>
    <w:rsid w:val="00F85A74"/>
    <w:rsid w:val="00F87477"/>
    <w:rsid w:val="00F94B63"/>
    <w:rsid w:val="00F96FBE"/>
    <w:rsid w:val="00F9711A"/>
    <w:rsid w:val="00FA26D2"/>
    <w:rsid w:val="00FA362C"/>
    <w:rsid w:val="00FA50E3"/>
    <w:rsid w:val="00FA52F1"/>
    <w:rsid w:val="00FA6D5F"/>
    <w:rsid w:val="00FA7DF2"/>
    <w:rsid w:val="00FB5427"/>
    <w:rsid w:val="00FB54DE"/>
    <w:rsid w:val="00FC141F"/>
    <w:rsid w:val="00FC282A"/>
    <w:rsid w:val="00FC2C4E"/>
    <w:rsid w:val="00FC2F9F"/>
    <w:rsid w:val="00FC3B65"/>
    <w:rsid w:val="00FC6D1D"/>
    <w:rsid w:val="00FD0CC4"/>
    <w:rsid w:val="00FD203E"/>
    <w:rsid w:val="00FD7584"/>
    <w:rsid w:val="00FD7DF4"/>
    <w:rsid w:val="00FD7FAC"/>
    <w:rsid w:val="00FE07A9"/>
    <w:rsid w:val="00FE2712"/>
    <w:rsid w:val="00FE6E92"/>
    <w:rsid w:val="00FF2176"/>
    <w:rsid w:val="00FF2838"/>
    <w:rsid w:val="00FF436A"/>
    <w:rsid w:val="00FF48BE"/>
    <w:rsid w:val="00FF49C7"/>
    <w:rsid w:val="00FF65E7"/>
    <w:rsid w:val="00FF6700"/>
    <w:rsid w:val="00FF71AC"/>
    <w:rsid w:val="0D0EDECB"/>
    <w:rsid w:val="0F7B764F"/>
    <w:rsid w:val="1C2DD235"/>
    <w:rsid w:val="2053E040"/>
    <w:rsid w:val="36EFAFC7"/>
    <w:rsid w:val="39756537"/>
    <w:rsid w:val="4A7F4BF4"/>
    <w:rsid w:val="649FD160"/>
    <w:rsid w:val="702F199A"/>
    <w:rsid w:val="70E3F427"/>
    <w:rsid w:val="76D0CE4B"/>
    <w:rsid w:val="787AB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6FF3F"/>
  <w15:docId w15:val="{8E389170-EA3A-47D5-A06A-AE4316B0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57"/>
    <w:rPr>
      <w:rFonts w:ascii="Arial" w:hAnsi="Arial"/>
    </w:rPr>
  </w:style>
  <w:style w:type="paragraph" w:styleId="Heading1">
    <w:name w:val="heading 1"/>
    <w:basedOn w:val="Normal"/>
    <w:next w:val="Normal"/>
    <w:link w:val="Heading1Char"/>
    <w:uiPriority w:val="9"/>
    <w:qFormat/>
    <w:rsid w:val="005179C6"/>
    <w:pPr>
      <w:keepNext/>
      <w:keepLines/>
      <w:spacing w:before="480" w:after="0"/>
      <w:outlineLvl w:val="0"/>
    </w:pPr>
    <w:rPr>
      <w:rFonts w:eastAsiaTheme="majorEastAsia" w:cstheme="majorBidi"/>
      <w:b/>
      <w:bCs/>
      <w:color w:val="374C80" w:themeColor="accent1" w:themeShade="BF"/>
      <w:sz w:val="28"/>
      <w:szCs w:val="28"/>
    </w:rPr>
  </w:style>
  <w:style w:type="paragraph" w:styleId="Heading2">
    <w:name w:val="heading 2"/>
    <w:basedOn w:val="Normal"/>
    <w:next w:val="Normal"/>
    <w:link w:val="Heading2Char"/>
    <w:uiPriority w:val="9"/>
    <w:unhideWhenUsed/>
    <w:qFormat/>
    <w:rsid w:val="00645557"/>
    <w:pPr>
      <w:keepNext/>
      <w:keepLines/>
      <w:spacing w:before="80" w:after="0"/>
      <w:outlineLvl w:val="1"/>
    </w:pPr>
    <w:rPr>
      <w:rFonts w:eastAsiaTheme="majorEastAsia" w:cstheme="majorBidi"/>
      <w:bCs/>
      <w:color w:val="4A66AC" w:themeColor="accent1"/>
      <w:sz w:val="28"/>
      <w:szCs w:val="26"/>
    </w:rPr>
  </w:style>
  <w:style w:type="paragraph" w:styleId="Heading3">
    <w:name w:val="heading 3"/>
    <w:basedOn w:val="Normal"/>
    <w:next w:val="Normal"/>
    <w:link w:val="Heading3Char"/>
    <w:uiPriority w:val="9"/>
    <w:unhideWhenUsed/>
    <w:qFormat/>
    <w:rsid w:val="00645557"/>
    <w:pPr>
      <w:keepNext/>
      <w:keepLines/>
      <w:spacing w:before="200" w:after="0"/>
      <w:outlineLvl w:val="2"/>
    </w:pPr>
    <w:rPr>
      <w:rFonts w:eastAsiaTheme="majorEastAsia" w:cstheme="majorBidi"/>
      <w:bCs/>
      <w:color w:val="4A66A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1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79C6"/>
    <w:rPr>
      <w:rFonts w:ascii="Arial" w:eastAsiaTheme="majorEastAsia" w:hAnsi="Arial" w:cstheme="majorBidi"/>
      <w:b/>
      <w:bCs/>
      <w:color w:val="374C80" w:themeColor="accent1" w:themeShade="BF"/>
      <w:sz w:val="28"/>
      <w:szCs w:val="28"/>
    </w:rPr>
  </w:style>
  <w:style w:type="paragraph" w:styleId="TOCHeading">
    <w:name w:val="TOC Heading"/>
    <w:basedOn w:val="Heading1"/>
    <w:next w:val="Normal"/>
    <w:uiPriority w:val="39"/>
    <w:unhideWhenUsed/>
    <w:qFormat/>
    <w:rsid w:val="007F1FAA"/>
    <w:pPr>
      <w:outlineLvl w:val="9"/>
    </w:pPr>
    <w:rPr>
      <w:lang w:val="en-US" w:eastAsia="ja-JP"/>
    </w:rPr>
  </w:style>
  <w:style w:type="paragraph" w:styleId="TOC2">
    <w:name w:val="toc 2"/>
    <w:basedOn w:val="Normal"/>
    <w:next w:val="Normal"/>
    <w:autoRedefine/>
    <w:uiPriority w:val="39"/>
    <w:unhideWhenUsed/>
    <w:qFormat/>
    <w:rsid w:val="007F1FAA"/>
    <w:pPr>
      <w:spacing w:after="100"/>
      <w:ind w:left="220"/>
    </w:pPr>
  </w:style>
  <w:style w:type="character" w:styleId="Hyperlink">
    <w:name w:val="Hyperlink"/>
    <w:basedOn w:val="DefaultParagraphFont"/>
    <w:uiPriority w:val="99"/>
    <w:unhideWhenUsed/>
    <w:rsid w:val="007F1FAA"/>
    <w:rPr>
      <w:color w:val="9454C3" w:themeColor="hyperlink"/>
      <w:u w:val="single"/>
    </w:rPr>
  </w:style>
  <w:style w:type="paragraph" w:styleId="BalloonText">
    <w:name w:val="Balloon Text"/>
    <w:basedOn w:val="Normal"/>
    <w:link w:val="BalloonTextChar"/>
    <w:uiPriority w:val="99"/>
    <w:semiHidden/>
    <w:unhideWhenUsed/>
    <w:rsid w:val="007F1F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FAA"/>
    <w:rPr>
      <w:rFonts w:ascii="Tahoma" w:hAnsi="Tahoma" w:cs="Tahoma"/>
      <w:sz w:val="16"/>
      <w:szCs w:val="16"/>
    </w:rPr>
  </w:style>
  <w:style w:type="paragraph" w:styleId="NoSpacing">
    <w:name w:val="No Spacing"/>
    <w:uiPriority w:val="1"/>
    <w:qFormat/>
    <w:rsid w:val="002E65A5"/>
    <w:pPr>
      <w:spacing w:after="0" w:line="240" w:lineRule="auto"/>
    </w:pPr>
  </w:style>
  <w:style w:type="paragraph" w:styleId="TOC1">
    <w:name w:val="toc 1"/>
    <w:basedOn w:val="Normal"/>
    <w:next w:val="Normal"/>
    <w:autoRedefine/>
    <w:uiPriority w:val="39"/>
    <w:unhideWhenUsed/>
    <w:qFormat/>
    <w:rsid w:val="00366F10"/>
    <w:pPr>
      <w:tabs>
        <w:tab w:val="right" w:leader="dot" w:pos="9016"/>
      </w:tabs>
      <w:spacing w:after="100"/>
    </w:pPr>
  </w:style>
  <w:style w:type="character" w:customStyle="1" w:styleId="Heading2Char">
    <w:name w:val="Heading 2 Char"/>
    <w:basedOn w:val="DefaultParagraphFont"/>
    <w:link w:val="Heading2"/>
    <w:uiPriority w:val="9"/>
    <w:rsid w:val="00645557"/>
    <w:rPr>
      <w:rFonts w:ascii="Arial" w:eastAsiaTheme="majorEastAsia" w:hAnsi="Arial" w:cstheme="majorBidi"/>
      <w:bCs/>
      <w:color w:val="4A66AC" w:themeColor="accent1"/>
      <w:sz w:val="28"/>
      <w:szCs w:val="26"/>
    </w:rPr>
  </w:style>
  <w:style w:type="paragraph" w:styleId="TOC3">
    <w:name w:val="toc 3"/>
    <w:basedOn w:val="Normal"/>
    <w:next w:val="Normal"/>
    <w:autoRedefine/>
    <w:uiPriority w:val="39"/>
    <w:unhideWhenUsed/>
    <w:qFormat/>
    <w:rsid w:val="0083492C"/>
    <w:pPr>
      <w:spacing w:after="100"/>
      <w:ind w:left="440"/>
    </w:pPr>
    <w:rPr>
      <w:rFonts w:eastAsiaTheme="minorEastAsia"/>
      <w:lang w:val="en-US" w:eastAsia="ja-JP"/>
    </w:rPr>
  </w:style>
  <w:style w:type="character" w:customStyle="1" w:styleId="Heading3Char">
    <w:name w:val="Heading 3 Char"/>
    <w:basedOn w:val="DefaultParagraphFont"/>
    <w:link w:val="Heading3"/>
    <w:uiPriority w:val="9"/>
    <w:rsid w:val="00645557"/>
    <w:rPr>
      <w:rFonts w:ascii="Arial" w:eastAsiaTheme="majorEastAsia" w:hAnsi="Arial" w:cstheme="majorBidi"/>
      <w:bCs/>
      <w:color w:val="4A66AC" w:themeColor="accent1"/>
    </w:rPr>
  </w:style>
  <w:style w:type="paragraph" w:styleId="Header">
    <w:name w:val="header"/>
    <w:basedOn w:val="Normal"/>
    <w:link w:val="HeaderChar"/>
    <w:uiPriority w:val="99"/>
    <w:unhideWhenUsed/>
    <w:rsid w:val="00B31C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C5A"/>
  </w:style>
  <w:style w:type="paragraph" w:styleId="Footer">
    <w:name w:val="footer"/>
    <w:basedOn w:val="Normal"/>
    <w:link w:val="FooterChar"/>
    <w:uiPriority w:val="99"/>
    <w:unhideWhenUsed/>
    <w:rsid w:val="00B31C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C5A"/>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71204E"/>
    <w:pPr>
      <w:ind w:left="720"/>
      <w:contextualSpacing/>
    </w:pPr>
  </w:style>
  <w:style w:type="paragraph" w:styleId="PlainText">
    <w:name w:val="Plain Text"/>
    <w:basedOn w:val="Normal"/>
    <w:link w:val="PlainTextChar"/>
    <w:uiPriority w:val="99"/>
    <w:semiHidden/>
    <w:unhideWhenUsed/>
    <w:rsid w:val="00A06E31"/>
    <w:pPr>
      <w:spacing w:after="0" w:line="240" w:lineRule="auto"/>
    </w:pPr>
    <w:rPr>
      <w:rFonts w:ascii="Calibri" w:eastAsiaTheme="minorEastAsia" w:hAnsi="Calibri" w:cs="Times New Roman"/>
      <w:szCs w:val="21"/>
      <w:lang w:eastAsia="en-GB"/>
    </w:rPr>
  </w:style>
  <w:style w:type="character" w:customStyle="1" w:styleId="PlainTextChar">
    <w:name w:val="Plain Text Char"/>
    <w:basedOn w:val="DefaultParagraphFont"/>
    <w:link w:val="PlainText"/>
    <w:uiPriority w:val="99"/>
    <w:semiHidden/>
    <w:rsid w:val="00A06E31"/>
    <w:rPr>
      <w:rFonts w:ascii="Calibri" w:eastAsiaTheme="minorEastAsia" w:hAnsi="Calibri" w:cs="Times New Roman"/>
      <w:szCs w:val="21"/>
      <w:lang w:eastAsia="en-GB"/>
    </w:rPr>
  </w:style>
  <w:style w:type="character" w:styleId="CommentReference">
    <w:name w:val="annotation reference"/>
    <w:basedOn w:val="DefaultParagraphFont"/>
    <w:uiPriority w:val="99"/>
    <w:semiHidden/>
    <w:unhideWhenUsed/>
    <w:rsid w:val="0064543C"/>
    <w:rPr>
      <w:sz w:val="16"/>
      <w:szCs w:val="16"/>
    </w:rPr>
  </w:style>
  <w:style w:type="paragraph" w:styleId="CommentText">
    <w:name w:val="annotation text"/>
    <w:basedOn w:val="Normal"/>
    <w:link w:val="CommentTextChar"/>
    <w:uiPriority w:val="99"/>
    <w:unhideWhenUsed/>
    <w:rsid w:val="0064543C"/>
    <w:pPr>
      <w:spacing w:after="0" w:line="240" w:lineRule="auto"/>
    </w:pPr>
    <w:rPr>
      <w:sz w:val="20"/>
      <w:szCs w:val="20"/>
    </w:rPr>
  </w:style>
  <w:style w:type="character" w:customStyle="1" w:styleId="CommentTextChar">
    <w:name w:val="Comment Text Char"/>
    <w:basedOn w:val="DefaultParagraphFont"/>
    <w:link w:val="CommentText"/>
    <w:uiPriority w:val="99"/>
    <w:rsid w:val="0064543C"/>
    <w:rPr>
      <w:sz w:val="20"/>
      <w:szCs w:val="20"/>
    </w:rPr>
  </w:style>
  <w:style w:type="character" w:styleId="FollowedHyperlink">
    <w:name w:val="FollowedHyperlink"/>
    <w:basedOn w:val="DefaultParagraphFont"/>
    <w:uiPriority w:val="99"/>
    <w:semiHidden/>
    <w:unhideWhenUsed/>
    <w:rsid w:val="00CD2A78"/>
    <w:rPr>
      <w:color w:val="3EBBF0" w:themeColor="followedHyperlink"/>
      <w:u w:val="single"/>
    </w:rPr>
  </w:style>
  <w:style w:type="character" w:styleId="UnresolvedMention">
    <w:name w:val="Unresolved Mention"/>
    <w:basedOn w:val="DefaultParagraphFont"/>
    <w:uiPriority w:val="99"/>
    <w:semiHidden/>
    <w:unhideWhenUsed/>
    <w:rsid w:val="0013037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D7494"/>
    <w:pPr>
      <w:spacing w:after="200"/>
    </w:pPr>
    <w:rPr>
      <w:b/>
      <w:bCs/>
    </w:rPr>
  </w:style>
  <w:style w:type="character" w:customStyle="1" w:styleId="CommentSubjectChar">
    <w:name w:val="Comment Subject Char"/>
    <w:basedOn w:val="CommentTextChar"/>
    <w:link w:val="CommentSubject"/>
    <w:uiPriority w:val="99"/>
    <w:semiHidden/>
    <w:rsid w:val="002D7494"/>
    <w:rPr>
      <w:b/>
      <w:bCs/>
      <w:sz w:val="20"/>
      <w:szCs w:val="20"/>
    </w:rPr>
  </w:style>
  <w:style w:type="paragraph" w:styleId="NormalWeb">
    <w:name w:val="Normal (Web)"/>
    <w:basedOn w:val="Normal"/>
    <w:uiPriority w:val="99"/>
    <w:semiHidden/>
    <w:unhideWhenUsed/>
    <w:rsid w:val="00AE50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35A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35A13"/>
  </w:style>
  <w:style w:type="character" w:customStyle="1" w:styleId="eop">
    <w:name w:val="eop"/>
    <w:basedOn w:val="DefaultParagraphFont"/>
    <w:rsid w:val="00735A13"/>
  </w:style>
  <w:style w:type="paragraph" w:customStyle="1" w:styleId="Default">
    <w:name w:val="Default"/>
    <w:rsid w:val="0091340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543068"/>
    <w:pPr>
      <w:spacing w:after="0" w:line="240" w:lineRule="auto"/>
    </w:pPr>
    <w:rPr>
      <w:rFonts w:ascii="Arial" w:hAnsi="Arial"/>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0410DF"/>
    <w:rPr>
      <w:rFonts w:ascii="Arial" w:hAnsi="Arial"/>
    </w:rPr>
  </w:style>
  <w:style w:type="table" w:customStyle="1" w:styleId="TableGrid0">
    <w:name w:val="TableGrid"/>
    <w:rsid w:val="00EC24B8"/>
    <w:pPr>
      <w:spacing w:after="0" w:line="240" w:lineRule="auto"/>
    </w:pPr>
    <w:rPr>
      <w:rFonts w:eastAsiaTheme="minorEastAsia"/>
      <w:kern w:val="2"/>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4574">
      <w:bodyDiv w:val="1"/>
      <w:marLeft w:val="0"/>
      <w:marRight w:val="0"/>
      <w:marTop w:val="0"/>
      <w:marBottom w:val="0"/>
      <w:divBdr>
        <w:top w:val="none" w:sz="0" w:space="0" w:color="auto"/>
        <w:left w:val="none" w:sz="0" w:space="0" w:color="auto"/>
        <w:bottom w:val="none" w:sz="0" w:space="0" w:color="auto"/>
        <w:right w:val="none" w:sz="0" w:space="0" w:color="auto"/>
      </w:divBdr>
    </w:div>
    <w:div w:id="351037359">
      <w:bodyDiv w:val="1"/>
      <w:marLeft w:val="0"/>
      <w:marRight w:val="0"/>
      <w:marTop w:val="0"/>
      <w:marBottom w:val="0"/>
      <w:divBdr>
        <w:top w:val="none" w:sz="0" w:space="0" w:color="auto"/>
        <w:left w:val="none" w:sz="0" w:space="0" w:color="auto"/>
        <w:bottom w:val="none" w:sz="0" w:space="0" w:color="auto"/>
        <w:right w:val="none" w:sz="0" w:space="0" w:color="auto"/>
      </w:divBdr>
    </w:div>
    <w:div w:id="409935313">
      <w:bodyDiv w:val="1"/>
      <w:marLeft w:val="0"/>
      <w:marRight w:val="0"/>
      <w:marTop w:val="0"/>
      <w:marBottom w:val="0"/>
      <w:divBdr>
        <w:top w:val="none" w:sz="0" w:space="0" w:color="auto"/>
        <w:left w:val="none" w:sz="0" w:space="0" w:color="auto"/>
        <w:bottom w:val="none" w:sz="0" w:space="0" w:color="auto"/>
        <w:right w:val="none" w:sz="0" w:space="0" w:color="auto"/>
      </w:divBdr>
    </w:div>
    <w:div w:id="518347741">
      <w:bodyDiv w:val="1"/>
      <w:marLeft w:val="0"/>
      <w:marRight w:val="0"/>
      <w:marTop w:val="0"/>
      <w:marBottom w:val="0"/>
      <w:divBdr>
        <w:top w:val="none" w:sz="0" w:space="0" w:color="auto"/>
        <w:left w:val="none" w:sz="0" w:space="0" w:color="auto"/>
        <w:bottom w:val="none" w:sz="0" w:space="0" w:color="auto"/>
        <w:right w:val="none" w:sz="0" w:space="0" w:color="auto"/>
      </w:divBdr>
    </w:div>
    <w:div w:id="520318155">
      <w:bodyDiv w:val="1"/>
      <w:marLeft w:val="0"/>
      <w:marRight w:val="0"/>
      <w:marTop w:val="0"/>
      <w:marBottom w:val="0"/>
      <w:divBdr>
        <w:top w:val="none" w:sz="0" w:space="0" w:color="auto"/>
        <w:left w:val="none" w:sz="0" w:space="0" w:color="auto"/>
        <w:bottom w:val="none" w:sz="0" w:space="0" w:color="auto"/>
        <w:right w:val="none" w:sz="0" w:space="0" w:color="auto"/>
      </w:divBdr>
      <w:divsChild>
        <w:div w:id="1523006750">
          <w:marLeft w:val="547"/>
          <w:marRight w:val="0"/>
          <w:marTop w:val="0"/>
          <w:marBottom w:val="0"/>
          <w:divBdr>
            <w:top w:val="none" w:sz="0" w:space="0" w:color="auto"/>
            <w:left w:val="none" w:sz="0" w:space="0" w:color="auto"/>
            <w:bottom w:val="none" w:sz="0" w:space="0" w:color="auto"/>
            <w:right w:val="none" w:sz="0" w:space="0" w:color="auto"/>
          </w:divBdr>
        </w:div>
        <w:div w:id="1068118038">
          <w:marLeft w:val="547"/>
          <w:marRight w:val="0"/>
          <w:marTop w:val="0"/>
          <w:marBottom w:val="0"/>
          <w:divBdr>
            <w:top w:val="none" w:sz="0" w:space="0" w:color="auto"/>
            <w:left w:val="none" w:sz="0" w:space="0" w:color="auto"/>
            <w:bottom w:val="none" w:sz="0" w:space="0" w:color="auto"/>
            <w:right w:val="none" w:sz="0" w:space="0" w:color="auto"/>
          </w:divBdr>
        </w:div>
        <w:div w:id="1484852559">
          <w:marLeft w:val="547"/>
          <w:marRight w:val="0"/>
          <w:marTop w:val="0"/>
          <w:marBottom w:val="0"/>
          <w:divBdr>
            <w:top w:val="none" w:sz="0" w:space="0" w:color="auto"/>
            <w:left w:val="none" w:sz="0" w:space="0" w:color="auto"/>
            <w:bottom w:val="none" w:sz="0" w:space="0" w:color="auto"/>
            <w:right w:val="none" w:sz="0" w:space="0" w:color="auto"/>
          </w:divBdr>
        </w:div>
        <w:div w:id="1195119636">
          <w:marLeft w:val="547"/>
          <w:marRight w:val="0"/>
          <w:marTop w:val="0"/>
          <w:marBottom w:val="0"/>
          <w:divBdr>
            <w:top w:val="none" w:sz="0" w:space="0" w:color="auto"/>
            <w:left w:val="none" w:sz="0" w:space="0" w:color="auto"/>
            <w:bottom w:val="none" w:sz="0" w:space="0" w:color="auto"/>
            <w:right w:val="none" w:sz="0" w:space="0" w:color="auto"/>
          </w:divBdr>
        </w:div>
        <w:div w:id="607858277">
          <w:marLeft w:val="547"/>
          <w:marRight w:val="0"/>
          <w:marTop w:val="0"/>
          <w:marBottom w:val="0"/>
          <w:divBdr>
            <w:top w:val="none" w:sz="0" w:space="0" w:color="auto"/>
            <w:left w:val="none" w:sz="0" w:space="0" w:color="auto"/>
            <w:bottom w:val="none" w:sz="0" w:space="0" w:color="auto"/>
            <w:right w:val="none" w:sz="0" w:space="0" w:color="auto"/>
          </w:divBdr>
        </w:div>
        <w:div w:id="1686856580">
          <w:marLeft w:val="547"/>
          <w:marRight w:val="0"/>
          <w:marTop w:val="0"/>
          <w:marBottom w:val="0"/>
          <w:divBdr>
            <w:top w:val="none" w:sz="0" w:space="0" w:color="auto"/>
            <w:left w:val="none" w:sz="0" w:space="0" w:color="auto"/>
            <w:bottom w:val="none" w:sz="0" w:space="0" w:color="auto"/>
            <w:right w:val="none" w:sz="0" w:space="0" w:color="auto"/>
          </w:divBdr>
        </w:div>
        <w:div w:id="957181217">
          <w:marLeft w:val="547"/>
          <w:marRight w:val="0"/>
          <w:marTop w:val="0"/>
          <w:marBottom w:val="0"/>
          <w:divBdr>
            <w:top w:val="none" w:sz="0" w:space="0" w:color="auto"/>
            <w:left w:val="none" w:sz="0" w:space="0" w:color="auto"/>
            <w:bottom w:val="none" w:sz="0" w:space="0" w:color="auto"/>
            <w:right w:val="none" w:sz="0" w:space="0" w:color="auto"/>
          </w:divBdr>
        </w:div>
        <w:div w:id="1485856081">
          <w:marLeft w:val="547"/>
          <w:marRight w:val="0"/>
          <w:marTop w:val="0"/>
          <w:marBottom w:val="0"/>
          <w:divBdr>
            <w:top w:val="none" w:sz="0" w:space="0" w:color="auto"/>
            <w:left w:val="none" w:sz="0" w:space="0" w:color="auto"/>
            <w:bottom w:val="none" w:sz="0" w:space="0" w:color="auto"/>
            <w:right w:val="none" w:sz="0" w:space="0" w:color="auto"/>
          </w:divBdr>
        </w:div>
        <w:div w:id="1954704268">
          <w:marLeft w:val="547"/>
          <w:marRight w:val="0"/>
          <w:marTop w:val="0"/>
          <w:marBottom w:val="0"/>
          <w:divBdr>
            <w:top w:val="none" w:sz="0" w:space="0" w:color="auto"/>
            <w:left w:val="none" w:sz="0" w:space="0" w:color="auto"/>
            <w:bottom w:val="none" w:sz="0" w:space="0" w:color="auto"/>
            <w:right w:val="none" w:sz="0" w:space="0" w:color="auto"/>
          </w:divBdr>
        </w:div>
        <w:div w:id="1150486960">
          <w:marLeft w:val="547"/>
          <w:marRight w:val="0"/>
          <w:marTop w:val="0"/>
          <w:marBottom w:val="0"/>
          <w:divBdr>
            <w:top w:val="none" w:sz="0" w:space="0" w:color="auto"/>
            <w:left w:val="none" w:sz="0" w:space="0" w:color="auto"/>
            <w:bottom w:val="none" w:sz="0" w:space="0" w:color="auto"/>
            <w:right w:val="none" w:sz="0" w:space="0" w:color="auto"/>
          </w:divBdr>
        </w:div>
        <w:div w:id="472866404">
          <w:marLeft w:val="547"/>
          <w:marRight w:val="0"/>
          <w:marTop w:val="0"/>
          <w:marBottom w:val="0"/>
          <w:divBdr>
            <w:top w:val="none" w:sz="0" w:space="0" w:color="auto"/>
            <w:left w:val="none" w:sz="0" w:space="0" w:color="auto"/>
            <w:bottom w:val="none" w:sz="0" w:space="0" w:color="auto"/>
            <w:right w:val="none" w:sz="0" w:space="0" w:color="auto"/>
          </w:divBdr>
        </w:div>
        <w:div w:id="722412021">
          <w:marLeft w:val="547"/>
          <w:marRight w:val="0"/>
          <w:marTop w:val="0"/>
          <w:marBottom w:val="0"/>
          <w:divBdr>
            <w:top w:val="none" w:sz="0" w:space="0" w:color="auto"/>
            <w:left w:val="none" w:sz="0" w:space="0" w:color="auto"/>
            <w:bottom w:val="none" w:sz="0" w:space="0" w:color="auto"/>
            <w:right w:val="none" w:sz="0" w:space="0" w:color="auto"/>
          </w:divBdr>
        </w:div>
        <w:div w:id="905148771">
          <w:marLeft w:val="547"/>
          <w:marRight w:val="0"/>
          <w:marTop w:val="0"/>
          <w:marBottom w:val="0"/>
          <w:divBdr>
            <w:top w:val="none" w:sz="0" w:space="0" w:color="auto"/>
            <w:left w:val="none" w:sz="0" w:space="0" w:color="auto"/>
            <w:bottom w:val="none" w:sz="0" w:space="0" w:color="auto"/>
            <w:right w:val="none" w:sz="0" w:space="0" w:color="auto"/>
          </w:divBdr>
        </w:div>
        <w:div w:id="399910151">
          <w:marLeft w:val="547"/>
          <w:marRight w:val="0"/>
          <w:marTop w:val="0"/>
          <w:marBottom w:val="0"/>
          <w:divBdr>
            <w:top w:val="none" w:sz="0" w:space="0" w:color="auto"/>
            <w:left w:val="none" w:sz="0" w:space="0" w:color="auto"/>
            <w:bottom w:val="none" w:sz="0" w:space="0" w:color="auto"/>
            <w:right w:val="none" w:sz="0" w:space="0" w:color="auto"/>
          </w:divBdr>
        </w:div>
        <w:div w:id="1964535466">
          <w:marLeft w:val="547"/>
          <w:marRight w:val="0"/>
          <w:marTop w:val="0"/>
          <w:marBottom w:val="0"/>
          <w:divBdr>
            <w:top w:val="none" w:sz="0" w:space="0" w:color="auto"/>
            <w:left w:val="none" w:sz="0" w:space="0" w:color="auto"/>
            <w:bottom w:val="none" w:sz="0" w:space="0" w:color="auto"/>
            <w:right w:val="none" w:sz="0" w:space="0" w:color="auto"/>
          </w:divBdr>
        </w:div>
        <w:div w:id="1431317627">
          <w:marLeft w:val="547"/>
          <w:marRight w:val="0"/>
          <w:marTop w:val="0"/>
          <w:marBottom w:val="0"/>
          <w:divBdr>
            <w:top w:val="none" w:sz="0" w:space="0" w:color="auto"/>
            <w:left w:val="none" w:sz="0" w:space="0" w:color="auto"/>
            <w:bottom w:val="none" w:sz="0" w:space="0" w:color="auto"/>
            <w:right w:val="none" w:sz="0" w:space="0" w:color="auto"/>
          </w:divBdr>
        </w:div>
        <w:div w:id="203836556">
          <w:marLeft w:val="547"/>
          <w:marRight w:val="0"/>
          <w:marTop w:val="0"/>
          <w:marBottom w:val="0"/>
          <w:divBdr>
            <w:top w:val="none" w:sz="0" w:space="0" w:color="auto"/>
            <w:left w:val="none" w:sz="0" w:space="0" w:color="auto"/>
            <w:bottom w:val="none" w:sz="0" w:space="0" w:color="auto"/>
            <w:right w:val="none" w:sz="0" w:space="0" w:color="auto"/>
          </w:divBdr>
        </w:div>
        <w:div w:id="1466309593">
          <w:marLeft w:val="547"/>
          <w:marRight w:val="0"/>
          <w:marTop w:val="0"/>
          <w:marBottom w:val="0"/>
          <w:divBdr>
            <w:top w:val="none" w:sz="0" w:space="0" w:color="auto"/>
            <w:left w:val="none" w:sz="0" w:space="0" w:color="auto"/>
            <w:bottom w:val="none" w:sz="0" w:space="0" w:color="auto"/>
            <w:right w:val="none" w:sz="0" w:space="0" w:color="auto"/>
          </w:divBdr>
        </w:div>
        <w:div w:id="2001305440">
          <w:marLeft w:val="547"/>
          <w:marRight w:val="0"/>
          <w:marTop w:val="0"/>
          <w:marBottom w:val="0"/>
          <w:divBdr>
            <w:top w:val="none" w:sz="0" w:space="0" w:color="auto"/>
            <w:left w:val="none" w:sz="0" w:space="0" w:color="auto"/>
            <w:bottom w:val="none" w:sz="0" w:space="0" w:color="auto"/>
            <w:right w:val="none" w:sz="0" w:space="0" w:color="auto"/>
          </w:divBdr>
        </w:div>
        <w:div w:id="654188747">
          <w:marLeft w:val="547"/>
          <w:marRight w:val="0"/>
          <w:marTop w:val="0"/>
          <w:marBottom w:val="0"/>
          <w:divBdr>
            <w:top w:val="none" w:sz="0" w:space="0" w:color="auto"/>
            <w:left w:val="none" w:sz="0" w:space="0" w:color="auto"/>
            <w:bottom w:val="none" w:sz="0" w:space="0" w:color="auto"/>
            <w:right w:val="none" w:sz="0" w:space="0" w:color="auto"/>
          </w:divBdr>
        </w:div>
        <w:div w:id="1520508570">
          <w:marLeft w:val="547"/>
          <w:marRight w:val="0"/>
          <w:marTop w:val="0"/>
          <w:marBottom w:val="0"/>
          <w:divBdr>
            <w:top w:val="none" w:sz="0" w:space="0" w:color="auto"/>
            <w:left w:val="none" w:sz="0" w:space="0" w:color="auto"/>
            <w:bottom w:val="none" w:sz="0" w:space="0" w:color="auto"/>
            <w:right w:val="none" w:sz="0" w:space="0" w:color="auto"/>
          </w:divBdr>
        </w:div>
        <w:div w:id="2108694108">
          <w:marLeft w:val="547"/>
          <w:marRight w:val="0"/>
          <w:marTop w:val="0"/>
          <w:marBottom w:val="0"/>
          <w:divBdr>
            <w:top w:val="none" w:sz="0" w:space="0" w:color="auto"/>
            <w:left w:val="none" w:sz="0" w:space="0" w:color="auto"/>
            <w:bottom w:val="none" w:sz="0" w:space="0" w:color="auto"/>
            <w:right w:val="none" w:sz="0" w:space="0" w:color="auto"/>
          </w:divBdr>
        </w:div>
        <w:div w:id="1299189882">
          <w:marLeft w:val="547"/>
          <w:marRight w:val="0"/>
          <w:marTop w:val="0"/>
          <w:marBottom w:val="0"/>
          <w:divBdr>
            <w:top w:val="none" w:sz="0" w:space="0" w:color="auto"/>
            <w:left w:val="none" w:sz="0" w:space="0" w:color="auto"/>
            <w:bottom w:val="none" w:sz="0" w:space="0" w:color="auto"/>
            <w:right w:val="none" w:sz="0" w:space="0" w:color="auto"/>
          </w:divBdr>
        </w:div>
      </w:divsChild>
    </w:div>
    <w:div w:id="521090157">
      <w:bodyDiv w:val="1"/>
      <w:marLeft w:val="0"/>
      <w:marRight w:val="0"/>
      <w:marTop w:val="0"/>
      <w:marBottom w:val="0"/>
      <w:divBdr>
        <w:top w:val="none" w:sz="0" w:space="0" w:color="auto"/>
        <w:left w:val="none" w:sz="0" w:space="0" w:color="auto"/>
        <w:bottom w:val="none" w:sz="0" w:space="0" w:color="auto"/>
        <w:right w:val="none" w:sz="0" w:space="0" w:color="auto"/>
      </w:divBdr>
    </w:div>
    <w:div w:id="577138323">
      <w:bodyDiv w:val="1"/>
      <w:marLeft w:val="0"/>
      <w:marRight w:val="0"/>
      <w:marTop w:val="0"/>
      <w:marBottom w:val="0"/>
      <w:divBdr>
        <w:top w:val="none" w:sz="0" w:space="0" w:color="auto"/>
        <w:left w:val="none" w:sz="0" w:space="0" w:color="auto"/>
        <w:bottom w:val="none" w:sz="0" w:space="0" w:color="auto"/>
        <w:right w:val="none" w:sz="0" w:space="0" w:color="auto"/>
      </w:divBdr>
    </w:div>
    <w:div w:id="658310550">
      <w:bodyDiv w:val="1"/>
      <w:marLeft w:val="0"/>
      <w:marRight w:val="0"/>
      <w:marTop w:val="0"/>
      <w:marBottom w:val="0"/>
      <w:divBdr>
        <w:top w:val="none" w:sz="0" w:space="0" w:color="auto"/>
        <w:left w:val="none" w:sz="0" w:space="0" w:color="auto"/>
        <w:bottom w:val="none" w:sz="0" w:space="0" w:color="auto"/>
        <w:right w:val="none" w:sz="0" w:space="0" w:color="auto"/>
      </w:divBdr>
    </w:div>
    <w:div w:id="1029331503">
      <w:bodyDiv w:val="1"/>
      <w:marLeft w:val="0"/>
      <w:marRight w:val="0"/>
      <w:marTop w:val="0"/>
      <w:marBottom w:val="0"/>
      <w:divBdr>
        <w:top w:val="none" w:sz="0" w:space="0" w:color="auto"/>
        <w:left w:val="none" w:sz="0" w:space="0" w:color="auto"/>
        <w:bottom w:val="none" w:sz="0" w:space="0" w:color="auto"/>
        <w:right w:val="none" w:sz="0" w:space="0" w:color="auto"/>
      </w:divBdr>
    </w:div>
    <w:div w:id="1514300683">
      <w:bodyDiv w:val="1"/>
      <w:marLeft w:val="0"/>
      <w:marRight w:val="0"/>
      <w:marTop w:val="0"/>
      <w:marBottom w:val="0"/>
      <w:divBdr>
        <w:top w:val="none" w:sz="0" w:space="0" w:color="auto"/>
        <w:left w:val="none" w:sz="0" w:space="0" w:color="auto"/>
        <w:bottom w:val="none" w:sz="0" w:space="0" w:color="auto"/>
        <w:right w:val="none" w:sz="0" w:space="0" w:color="auto"/>
      </w:divBdr>
    </w:div>
    <w:div w:id="1740861438">
      <w:bodyDiv w:val="1"/>
      <w:marLeft w:val="0"/>
      <w:marRight w:val="0"/>
      <w:marTop w:val="0"/>
      <w:marBottom w:val="0"/>
      <w:divBdr>
        <w:top w:val="none" w:sz="0" w:space="0" w:color="auto"/>
        <w:left w:val="none" w:sz="0" w:space="0" w:color="auto"/>
        <w:bottom w:val="none" w:sz="0" w:space="0" w:color="auto"/>
        <w:right w:val="none" w:sz="0" w:space="0" w:color="auto"/>
      </w:divBdr>
    </w:div>
    <w:div w:id="1938948411">
      <w:bodyDiv w:val="1"/>
      <w:marLeft w:val="0"/>
      <w:marRight w:val="0"/>
      <w:marTop w:val="0"/>
      <w:marBottom w:val="0"/>
      <w:divBdr>
        <w:top w:val="none" w:sz="0" w:space="0" w:color="auto"/>
        <w:left w:val="none" w:sz="0" w:space="0" w:color="auto"/>
        <w:bottom w:val="none" w:sz="0" w:space="0" w:color="auto"/>
        <w:right w:val="none" w:sz="0" w:space="0" w:color="auto"/>
      </w:divBdr>
      <w:divsChild>
        <w:div w:id="553780781">
          <w:marLeft w:val="0"/>
          <w:marRight w:val="0"/>
          <w:marTop w:val="0"/>
          <w:marBottom w:val="0"/>
          <w:divBdr>
            <w:top w:val="none" w:sz="0" w:space="0" w:color="auto"/>
            <w:left w:val="none" w:sz="0" w:space="0" w:color="auto"/>
            <w:bottom w:val="none" w:sz="0" w:space="0" w:color="auto"/>
            <w:right w:val="none" w:sz="0" w:space="0" w:color="auto"/>
          </w:divBdr>
        </w:div>
        <w:div w:id="1156800439">
          <w:marLeft w:val="0"/>
          <w:marRight w:val="0"/>
          <w:marTop w:val="0"/>
          <w:marBottom w:val="0"/>
          <w:divBdr>
            <w:top w:val="none" w:sz="0" w:space="0" w:color="auto"/>
            <w:left w:val="none" w:sz="0" w:space="0" w:color="auto"/>
            <w:bottom w:val="none" w:sz="0" w:space="0" w:color="auto"/>
            <w:right w:val="none" w:sz="0" w:space="0" w:color="auto"/>
          </w:divBdr>
        </w:div>
      </w:divsChild>
    </w:div>
    <w:div w:id="2110351065">
      <w:bodyDiv w:val="1"/>
      <w:marLeft w:val="0"/>
      <w:marRight w:val="0"/>
      <w:marTop w:val="0"/>
      <w:marBottom w:val="0"/>
      <w:divBdr>
        <w:top w:val="none" w:sz="0" w:space="0" w:color="auto"/>
        <w:left w:val="none" w:sz="0" w:space="0" w:color="auto"/>
        <w:bottom w:val="none" w:sz="0" w:space="0" w:color="auto"/>
        <w:right w:val="none" w:sz="0" w:space="0" w:color="auto"/>
      </w:divBdr>
    </w:div>
    <w:div w:id="213590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gland.nhs.uk/publication/patient-safety-incident-response-framework-and-supporting-guidance/"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patient-safety/the-nhs-patient-safety-strategy/" TargetMode="Externa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005E25-6BB7-436F-8ED7-857F222BAD65}"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en-GB"/>
        </a:p>
      </dgm:t>
    </dgm:pt>
    <dgm:pt modelId="{31660F32-7996-4E93-8A0E-DDCBCA25C86C}">
      <dgm:prSet phldrT="[Text]" custT="1"/>
      <dgm:spPr/>
      <dgm:t>
        <a:bodyPr/>
        <a:lstStyle/>
        <a:p>
          <a:r>
            <a:rPr lang="en-GB" sz="900" b="1">
              <a:latin typeface="Arial" panose="020B0604020202020204" pitchFamily="34" charset="0"/>
              <a:cs typeface="Arial" panose="020B0604020202020204" pitchFamily="34" charset="0"/>
            </a:rPr>
            <a:t>Patient Safety Priorities</a:t>
          </a:r>
        </a:p>
      </dgm:t>
    </dgm:pt>
    <dgm:pt modelId="{60D5F94D-CF75-4602-8E4E-68A7A7234ABD}" type="parTrans" cxnId="{C3DDC003-DEC5-4B37-AE74-BB379D7A3496}">
      <dgm:prSet/>
      <dgm:spPr/>
      <dgm:t>
        <a:bodyPr/>
        <a:lstStyle/>
        <a:p>
          <a:endParaRPr lang="en-GB" sz="1100">
            <a:latin typeface="Arial" panose="020B0604020202020204" pitchFamily="34" charset="0"/>
            <a:cs typeface="Arial" panose="020B0604020202020204" pitchFamily="34" charset="0"/>
          </a:endParaRPr>
        </a:p>
      </dgm:t>
    </dgm:pt>
    <dgm:pt modelId="{7582E678-1EEE-4DC6-AFD3-5E65D0E5EDDB}" type="sibTrans" cxnId="{C3DDC003-DEC5-4B37-AE74-BB379D7A3496}">
      <dgm:prSet/>
      <dgm:spPr/>
      <dgm:t>
        <a:bodyPr/>
        <a:lstStyle/>
        <a:p>
          <a:endParaRPr lang="en-GB" sz="1100">
            <a:latin typeface="Arial" panose="020B0604020202020204" pitchFamily="34" charset="0"/>
            <a:cs typeface="Arial" panose="020B0604020202020204" pitchFamily="34" charset="0"/>
          </a:endParaRPr>
        </a:p>
      </dgm:t>
    </dgm:pt>
    <dgm:pt modelId="{21ED8961-49D7-4E00-B9CB-CF7952BD68AB}">
      <dgm:prSet phldrT="[Text]" custT="1"/>
      <dgm:spPr/>
      <dgm:t>
        <a:bodyPr/>
        <a:lstStyle/>
        <a:p>
          <a:r>
            <a:rPr lang="en-GB" sz="900">
              <a:latin typeface="Arial" panose="020B0604020202020204" pitchFamily="34" charset="0"/>
              <a:cs typeface="Arial" panose="020B0604020202020204" pitchFamily="34" charset="0"/>
            </a:rPr>
            <a:t>&gt;21000 incidents</a:t>
          </a:r>
        </a:p>
      </dgm:t>
    </dgm:pt>
    <dgm:pt modelId="{507F647A-A313-44A7-AF09-CE16AB23B0AB}" type="parTrans" cxnId="{C644C3FF-E385-438C-8E1B-F7E8EBA5F768}">
      <dgm:prSet custT="1"/>
      <dgm:spPr/>
      <dgm:t>
        <a:bodyPr/>
        <a:lstStyle/>
        <a:p>
          <a:endParaRPr lang="en-GB" sz="1100">
            <a:latin typeface="Arial" panose="020B0604020202020204" pitchFamily="34" charset="0"/>
            <a:cs typeface="Arial" panose="020B0604020202020204" pitchFamily="34" charset="0"/>
          </a:endParaRPr>
        </a:p>
      </dgm:t>
    </dgm:pt>
    <dgm:pt modelId="{0E8EB5F1-CB52-4F09-8568-B8386C7C2ED7}" type="sibTrans" cxnId="{C644C3FF-E385-438C-8E1B-F7E8EBA5F768}">
      <dgm:prSet/>
      <dgm:spPr/>
      <dgm:t>
        <a:bodyPr/>
        <a:lstStyle/>
        <a:p>
          <a:endParaRPr lang="en-GB" sz="1100">
            <a:latin typeface="Arial" panose="020B0604020202020204" pitchFamily="34" charset="0"/>
            <a:cs typeface="Arial" panose="020B0604020202020204" pitchFamily="34" charset="0"/>
          </a:endParaRPr>
        </a:p>
      </dgm:t>
    </dgm:pt>
    <dgm:pt modelId="{EDA639DB-168B-4D4B-BA5B-40F80AD17582}">
      <dgm:prSet phldrT="[Text]" custT="1"/>
      <dgm:spPr/>
      <dgm:t>
        <a:bodyPr/>
        <a:lstStyle/>
        <a:p>
          <a:r>
            <a:rPr lang="en-GB" sz="900">
              <a:latin typeface="Arial" panose="020B0604020202020204" pitchFamily="34" charset="0"/>
              <a:cs typeface="Arial" panose="020B0604020202020204" pitchFamily="34" charset="0"/>
            </a:rPr>
            <a:t>&gt;500 complaints</a:t>
          </a:r>
        </a:p>
      </dgm:t>
    </dgm:pt>
    <dgm:pt modelId="{69BC1175-2415-4387-B147-D7B71F4CC516}" type="parTrans" cxnId="{227FA6C1-8D7D-4B12-8A0A-D62C604800A3}">
      <dgm:prSet custT="1"/>
      <dgm:spPr/>
      <dgm:t>
        <a:bodyPr/>
        <a:lstStyle/>
        <a:p>
          <a:endParaRPr lang="en-GB" sz="1100">
            <a:latin typeface="Arial" panose="020B0604020202020204" pitchFamily="34" charset="0"/>
            <a:cs typeface="Arial" panose="020B0604020202020204" pitchFamily="34" charset="0"/>
          </a:endParaRPr>
        </a:p>
      </dgm:t>
    </dgm:pt>
    <dgm:pt modelId="{71A9E45C-51EA-4E22-9BBF-0D062BCEA0A2}" type="sibTrans" cxnId="{227FA6C1-8D7D-4B12-8A0A-D62C604800A3}">
      <dgm:prSet/>
      <dgm:spPr/>
      <dgm:t>
        <a:bodyPr/>
        <a:lstStyle/>
        <a:p>
          <a:endParaRPr lang="en-GB" sz="1100">
            <a:latin typeface="Arial" panose="020B0604020202020204" pitchFamily="34" charset="0"/>
            <a:cs typeface="Arial" panose="020B0604020202020204" pitchFamily="34" charset="0"/>
          </a:endParaRPr>
        </a:p>
      </dgm:t>
    </dgm:pt>
    <dgm:pt modelId="{2541253A-00FE-48AF-9FBC-EA0C294849AA}">
      <dgm:prSet phldrT="[Text]" custT="1"/>
      <dgm:spPr/>
      <dgm:t>
        <a:bodyPr/>
        <a:lstStyle/>
        <a:p>
          <a:r>
            <a:rPr lang="en-GB" sz="900">
              <a:latin typeface="Arial" panose="020B0604020202020204" pitchFamily="34" charset="0"/>
              <a:cs typeface="Arial" panose="020B0604020202020204" pitchFamily="34" charset="0"/>
            </a:rPr>
            <a:t>22 claims</a:t>
          </a:r>
        </a:p>
      </dgm:t>
    </dgm:pt>
    <dgm:pt modelId="{6D8D5D4B-BE3F-4E50-86EB-900F65EE0424}" type="parTrans" cxnId="{34F8E148-FF25-44CD-B3BE-8D7AAFC9602C}">
      <dgm:prSet custT="1"/>
      <dgm:spPr/>
      <dgm:t>
        <a:bodyPr/>
        <a:lstStyle/>
        <a:p>
          <a:endParaRPr lang="en-GB" sz="1100">
            <a:latin typeface="Arial" panose="020B0604020202020204" pitchFamily="34" charset="0"/>
            <a:cs typeface="Arial" panose="020B0604020202020204" pitchFamily="34" charset="0"/>
          </a:endParaRPr>
        </a:p>
      </dgm:t>
    </dgm:pt>
    <dgm:pt modelId="{D611CFF2-E387-4378-B02E-3BF6CA9A6FE5}" type="sibTrans" cxnId="{34F8E148-FF25-44CD-B3BE-8D7AAFC9602C}">
      <dgm:prSet/>
      <dgm:spPr/>
      <dgm:t>
        <a:bodyPr/>
        <a:lstStyle/>
        <a:p>
          <a:endParaRPr lang="en-GB" sz="1100">
            <a:latin typeface="Arial" panose="020B0604020202020204" pitchFamily="34" charset="0"/>
            <a:cs typeface="Arial" panose="020B0604020202020204" pitchFamily="34" charset="0"/>
          </a:endParaRPr>
        </a:p>
      </dgm:t>
    </dgm:pt>
    <dgm:pt modelId="{E65C003E-9C51-4790-9528-7592FDC3AE72}">
      <dgm:prSet phldrT="[Text]" custT="1"/>
      <dgm:spPr/>
      <dgm:t>
        <a:bodyPr/>
        <a:lstStyle/>
        <a:p>
          <a:r>
            <a:rPr lang="en-GB" sz="900">
              <a:latin typeface="Arial" panose="020B0604020202020204" pitchFamily="34" charset="0"/>
              <a:cs typeface="Arial" panose="020B0604020202020204" pitchFamily="34" charset="0"/>
            </a:rPr>
            <a:t>39 inquests</a:t>
          </a:r>
        </a:p>
      </dgm:t>
    </dgm:pt>
    <dgm:pt modelId="{2BFDC17B-F6CB-4AF4-9CE9-5A5F9CB84A10}" type="parTrans" cxnId="{BAF60E85-0B7E-42E3-9DD0-900693A5F2B3}">
      <dgm:prSet custT="1"/>
      <dgm:spPr/>
      <dgm:t>
        <a:bodyPr/>
        <a:lstStyle/>
        <a:p>
          <a:endParaRPr lang="en-GB" sz="1100">
            <a:latin typeface="Arial" panose="020B0604020202020204" pitchFamily="34" charset="0"/>
            <a:cs typeface="Arial" panose="020B0604020202020204" pitchFamily="34" charset="0"/>
          </a:endParaRPr>
        </a:p>
      </dgm:t>
    </dgm:pt>
    <dgm:pt modelId="{80A234F4-32A5-494B-9AD3-4521A591237A}" type="sibTrans" cxnId="{BAF60E85-0B7E-42E3-9DD0-900693A5F2B3}">
      <dgm:prSet/>
      <dgm:spPr/>
      <dgm:t>
        <a:bodyPr/>
        <a:lstStyle/>
        <a:p>
          <a:endParaRPr lang="en-GB" sz="1100">
            <a:latin typeface="Arial" panose="020B0604020202020204" pitchFamily="34" charset="0"/>
            <a:cs typeface="Arial" panose="020B0604020202020204" pitchFamily="34" charset="0"/>
          </a:endParaRPr>
        </a:p>
      </dgm:t>
    </dgm:pt>
    <dgm:pt modelId="{6032524E-CDC2-4CF9-B90A-DFBDE86BB9D0}">
      <dgm:prSet phldrT="[Text]" custT="1"/>
      <dgm:spPr/>
      <dgm:t>
        <a:bodyPr/>
        <a:lstStyle/>
        <a:p>
          <a:r>
            <a:rPr lang="en-GB" sz="900">
              <a:latin typeface="Arial" panose="020B0604020202020204" pitchFamily="34" charset="0"/>
              <a:cs typeface="Arial" panose="020B0604020202020204" pitchFamily="34" charset="0"/>
            </a:rPr>
            <a:t>Learning from deaths</a:t>
          </a:r>
        </a:p>
      </dgm:t>
    </dgm:pt>
    <dgm:pt modelId="{E3514140-7566-4226-915E-161E1769233B}" type="parTrans" cxnId="{B7805BBB-38E6-4011-9726-CFAD4C30CED9}">
      <dgm:prSet custT="1"/>
      <dgm:spPr/>
      <dgm:t>
        <a:bodyPr/>
        <a:lstStyle/>
        <a:p>
          <a:endParaRPr lang="en-GB" sz="1100">
            <a:latin typeface="Arial" panose="020B0604020202020204" pitchFamily="34" charset="0"/>
            <a:cs typeface="Arial" panose="020B0604020202020204" pitchFamily="34" charset="0"/>
          </a:endParaRPr>
        </a:p>
      </dgm:t>
    </dgm:pt>
    <dgm:pt modelId="{C0483836-DCF4-4AEC-9A59-AF086360E0A1}" type="sibTrans" cxnId="{B7805BBB-38E6-4011-9726-CFAD4C30CED9}">
      <dgm:prSet/>
      <dgm:spPr/>
      <dgm:t>
        <a:bodyPr/>
        <a:lstStyle/>
        <a:p>
          <a:endParaRPr lang="en-GB" sz="1100">
            <a:latin typeface="Arial" panose="020B0604020202020204" pitchFamily="34" charset="0"/>
            <a:cs typeface="Arial" panose="020B0604020202020204" pitchFamily="34" charset="0"/>
          </a:endParaRPr>
        </a:p>
      </dgm:t>
    </dgm:pt>
    <dgm:pt modelId="{B16D1BDB-C96E-48A0-8C67-40159C7F2E63}">
      <dgm:prSet phldrT="[Text]" custT="1"/>
      <dgm:spPr/>
      <dgm:t>
        <a:bodyPr/>
        <a:lstStyle/>
        <a:p>
          <a:r>
            <a:rPr lang="en-GB" sz="900">
              <a:latin typeface="Arial" panose="020B0604020202020204" pitchFamily="34" charset="0"/>
              <a:cs typeface="Arial" panose="020B0604020202020204" pitchFamily="34" charset="0"/>
            </a:rPr>
            <a:t>Risk register</a:t>
          </a:r>
        </a:p>
      </dgm:t>
    </dgm:pt>
    <dgm:pt modelId="{0DA12B65-92F3-4B7E-A79D-D8011CB9029A}" type="parTrans" cxnId="{4CAE0890-C8EB-43EF-9EFA-737E422FC677}">
      <dgm:prSet/>
      <dgm:spPr/>
      <dgm:t>
        <a:bodyPr/>
        <a:lstStyle/>
        <a:p>
          <a:endParaRPr lang="en-GB"/>
        </a:p>
      </dgm:t>
    </dgm:pt>
    <dgm:pt modelId="{392F7160-C867-4B64-9E9E-6404C6E4340C}" type="sibTrans" cxnId="{4CAE0890-C8EB-43EF-9EFA-737E422FC677}">
      <dgm:prSet/>
      <dgm:spPr/>
      <dgm:t>
        <a:bodyPr/>
        <a:lstStyle/>
        <a:p>
          <a:endParaRPr lang="en-GB"/>
        </a:p>
      </dgm:t>
    </dgm:pt>
    <dgm:pt modelId="{2D7417F6-71FD-4870-B5F6-FB03AFBB4C6B}">
      <dgm:prSet phldrT="[Text]" custT="1"/>
      <dgm:spPr/>
      <dgm:t>
        <a:bodyPr/>
        <a:lstStyle/>
        <a:p>
          <a:r>
            <a:rPr lang="en-GB" sz="900">
              <a:latin typeface="Arial" panose="020B0604020202020204" pitchFamily="34" charset="0"/>
              <a:cs typeface="Arial" panose="020B0604020202020204" pitchFamily="34" charset="0"/>
            </a:rPr>
            <a:t>40 Freedom to Speak Up</a:t>
          </a:r>
        </a:p>
      </dgm:t>
    </dgm:pt>
    <dgm:pt modelId="{A939E469-2C38-43E4-97A7-DB669775C995}" type="parTrans" cxnId="{EE9EDD01-D94F-44F3-B514-6B64C68D6716}">
      <dgm:prSet/>
      <dgm:spPr/>
      <dgm:t>
        <a:bodyPr/>
        <a:lstStyle/>
        <a:p>
          <a:endParaRPr lang="en-GB"/>
        </a:p>
      </dgm:t>
    </dgm:pt>
    <dgm:pt modelId="{A2712FE9-09C3-4BED-B6AF-B80773D86154}" type="sibTrans" cxnId="{EE9EDD01-D94F-44F3-B514-6B64C68D6716}">
      <dgm:prSet/>
      <dgm:spPr/>
      <dgm:t>
        <a:bodyPr/>
        <a:lstStyle/>
        <a:p>
          <a:endParaRPr lang="en-GB"/>
        </a:p>
      </dgm:t>
    </dgm:pt>
    <dgm:pt modelId="{36C01F20-0079-4B1B-BFE2-3E509C9ADF24}">
      <dgm:prSet phldrT="[Text]" custT="1"/>
      <dgm:spPr/>
      <dgm:t>
        <a:bodyPr/>
        <a:lstStyle/>
        <a:p>
          <a:r>
            <a:rPr lang="en-GB" sz="900">
              <a:latin typeface="Arial" panose="020B0604020202020204" pitchFamily="34" charset="0"/>
              <a:cs typeface="Arial" panose="020B0604020202020204" pitchFamily="34" charset="0"/>
            </a:rPr>
            <a:t>19 MRSA post infection review</a:t>
          </a:r>
        </a:p>
      </dgm:t>
    </dgm:pt>
    <dgm:pt modelId="{0D041CA2-7024-469E-B2E2-7B2B8A644624}" type="parTrans" cxnId="{D6A7AC0A-572E-4C28-BAE9-CC65C8274269}">
      <dgm:prSet/>
      <dgm:spPr/>
      <dgm:t>
        <a:bodyPr/>
        <a:lstStyle/>
        <a:p>
          <a:endParaRPr lang="en-GB"/>
        </a:p>
      </dgm:t>
    </dgm:pt>
    <dgm:pt modelId="{5B1BA31B-3483-4340-962C-D4BA5F9F72DF}" type="sibTrans" cxnId="{D6A7AC0A-572E-4C28-BAE9-CC65C8274269}">
      <dgm:prSet/>
      <dgm:spPr/>
      <dgm:t>
        <a:bodyPr/>
        <a:lstStyle/>
        <a:p>
          <a:endParaRPr lang="en-GB"/>
        </a:p>
      </dgm:t>
    </dgm:pt>
    <dgm:pt modelId="{1485C894-CE63-41F3-AC29-1DF400451A61}">
      <dgm:prSet phldrT="[Text]" custT="1"/>
      <dgm:spPr/>
      <dgm:t>
        <a:bodyPr/>
        <a:lstStyle/>
        <a:p>
          <a:endParaRPr lang="en-GB" sz="900">
            <a:latin typeface="Arial" panose="020B0604020202020204" pitchFamily="34" charset="0"/>
            <a:cs typeface="Arial" panose="020B0604020202020204" pitchFamily="34" charset="0"/>
          </a:endParaRPr>
        </a:p>
      </dgm:t>
    </dgm:pt>
    <dgm:pt modelId="{743A9353-A386-4A14-8E15-880F42AD07A5}" type="parTrans" cxnId="{384500E5-C381-40C4-9986-AB15BBF2810F}">
      <dgm:prSet/>
      <dgm:spPr/>
      <dgm:t>
        <a:bodyPr/>
        <a:lstStyle/>
        <a:p>
          <a:endParaRPr lang="en-GB"/>
        </a:p>
      </dgm:t>
    </dgm:pt>
    <dgm:pt modelId="{4CBEB67A-5250-43B9-B512-77855A870415}" type="sibTrans" cxnId="{384500E5-C381-40C4-9986-AB15BBF2810F}">
      <dgm:prSet/>
      <dgm:spPr/>
      <dgm:t>
        <a:bodyPr/>
        <a:lstStyle/>
        <a:p>
          <a:endParaRPr lang="en-GB"/>
        </a:p>
      </dgm:t>
    </dgm:pt>
    <dgm:pt modelId="{C41E0C78-CF13-4F37-98C3-8249B05A1A20}" type="pres">
      <dgm:prSet presAssocID="{69005E25-6BB7-436F-8ED7-857F222BAD65}" presName="cycle" presStyleCnt="0">
        <dgm:presLayoutVars>
          <dgm:chMax val="1"/>
          <dgm:dir/>
          <dgm:animLvl val="ctr"/>
          <dgm:resizeHandles val="exact"/>
        </dgm:presLayoutVars>
      </dgm:prSet>
      <dgm:spPr/>
    </dgm:pt>
    <dgm:pt modelId="{A71BA28D-A9B4-4D92-AF9D-6824543BA172}" type="pres">
      <dgm:prSet presAssocID="{31660F32-7996-4E93-8A0E-DDCBCA25C86C}" presName="centerShape" presStyleLbl="node0" presStyleIdx="0" presStyleCnt="1" custScaleX="153409"/>
      <dgm:spPr/>
    </dgm:pt>
    <dgm:pt modelId="{7CD7DDB2-970A-4FC0-A5BF-D8322393B7C3}" type="pres">
      <dgm:prSet presAssocID="{507F647A-A313-44A7-AF09-CE16AB23B0AB}" presName="Name9" presStyleLbl="parChTrans1D2" presStyleIdx="0" presStyleCnt="8"/>
      <dgm:spPr/>
    </dgm:pt>
    <dgm:pt modelId="{C6B0058F-5CC7-4D65-B610-F2D888B6BCD9}" type="pres">
      <dgm:prSet presAssocID="{507F647A-A313-44A7-AF09-CE16AB23B0AB}" presName="connTx" presStyleLbl="parChTrans1D2" presStyleIdx="0" presStyleCnt="8"/>
      <dgm:spPr/>
    </dgm:pt>
    <dgm:pt modelId="{7744E04E-7244-4154-B9A9-ED7039DCDB1D}" type="pres">
      <dgm:prSet presAssocID="{21ED8961-49D7-4E00-B9CB-CF7952BD68AB}" presName="node" presStyleLbl="node1" presStyleIdx="0" presStyleCnt="8" custScaleX="149027">
        <dgm:presLayoutVars>
          <dgm:bulletEnabled val="1"/>
        </dgm:presLayoutVars>
      </dgm:prSet>
      <dgm:spPr/>
    </dgm:pt>
    <dgm:pt modelId="{A8436723-900D-4CB4-A2E8-CFF6BB312BF0}" type="pres">
      <dgm:prSet presAssocID="{69BC1175-2415-4387-B147-D7B71F4CC516}" presName="Name9" presStyleLbl="parChTrans1D2" presStyleIdx="1" presStyleCnt="8"/>
      <dgm:spPr/>
    </dgm:pt>
    <dgm:pt modelId="{88441565-2FE4-4BD2-8D46-D374BBA98709}" type="pres">
      <dgm:prSet presAssocID="{69BC1175-2415-4387-B147-D7B71F4CC516}" presName="connTx" presStyleLbl="parChTrans1D2" presStyleIdx="1" presStyleCnt="8"/>
      <dgm:spPr/>
    </dgm:pt>
    <dgm:pt modelId="{8B0CB17D-1E21-4037-8C0A-70D4D4C85E3D}" type="pres">
      <dgm:prSet presAssocID="{EDA639DB-168B-4D4B-BA5B-40F80AD17582}" presName="node" presStyleLbl="node1" presStyleIdx="1" presStyleCnt="8" custScaleX="156015" custScaleY="99331" custRadScaleRad="105702" custRadScaleInc="29327">
        <dgm:presLayoutVars>
          <dgm:bulletEnabled val="1"/>
        </dgm:presLayoutVars>
      </dgm:prSet>
      <dgm:spPr/>
    </dgm:pt>
    <dgm:pt modelId="{28AC2579-A768-4E63-A344-A10EA7A6CFF1}" type="pres">
      <dgm:prSet presAssocID="{6D8D5D4B-BE3F-4E50-86EB-900F65EE0424}" presName="Name9" presStyleLbl="parChTrans1D2" presStyleIdx="2" presStyleCnt="8"/>
      <dgm:spPr/>
    </dgm:pt>
    <dgm:pt modelId="{24C312CA-3F05-422A-AF9F-FF6FB398BEAA}" type="pres">
      <dgm:prSet presAssocID="{6D8D5D4B-BE3F-4E50-86EB-900F65EE0424}" presName="connTx" presStyleLbl="parChTrans1D2" presStyleIdx="2" presStyleCnt="8"/>
      <dgm:spPr/>
    </dgm:pt>
    <dgm:pt modelId="{F2AF4659-A8F9-467C-A5E7-5805A0DD0C11}" type="pres">
      <dgm:prSet presAssocID="{2541253A-00FE-48AF-9FBC-EA0C294849AA}" presName="node" presStyleLbl="node1" presStyleIdx="2" presStyleCnt="8" custScaleX="142223" custRadScaleRad="117980" custRadScaleInc="-12939">
        <dgm:presLayoutVars>
          <dgm:bulletEnabled val="1"/>
        </dgm:presLayoutVars>
      </dgm:prSet>
      <dgm:spPr/>
    </dgm:pt>
    <dgm:pt modelId="{283B5162-9F7F-4A23-A776-B541B9036290}" type="pres">
      <dgm:prSet presAssocID="{2BFDC17B-F6CB-4AF4-9CE9-5A5F9CB84A10}" presName="Name9" presStyleLbl="parChTrans1D2" presStyleIdx="3" presStyleCnt="8"/>
      <dgm:spPr/>
    </dgm:pt>
    <dgm:pt modelId="{EF4CB258-784A-4E7D-A858-3CC585E95C39}" type="pres">
      <dgm:prSet presAssocID="{2BFDC17B-F6CB-4AF4-9CE9-5A5F9CB84A10}" presName="connTx" presStyleLbl="parChTrans1D2" presStyleIdx="3" presStyleCnt="8"/>
      <dgm:spPr/>
    </dgm:pt>
    <dgm:pt modelId="{65FC9782-6CDC-4622-9D76-735B5DB48E56}" type="pres">
      <dgm:prSet presAssocID="{E65C003E-9C51-4790-9528-7592FDC3AE72}" presName="node" presStyleLbl="node1" presStyleIdx="3" presStyleCnt="8" custScaleX="142153" custRadScaleRad="102536" custRadScaleInc="-10326">
        <dgm:presLayoutVars>
          <dgm:bulletEnabled val="1"/>
        </dgm:presLayoutVars>
      </dgm:prSet>
      <dgm:spPr/>
    </dgm:pt>
    <dgm:pt modelId="{E3ECC952-9049-4EC7-B149-7993EC7D3720}" type="pres">
      <dgm:prSet presAssocID="{E3514140-7566-4226-915E-161E1769233B}" presName="Name9" presStyleLbl="parChTrans1D2" presStyleIdx="4" presStyleCnt="8"/>
      <dgm:spPr/>
    </dgm:pt>
    <dgm:pt modelId="{747B3573-127F-4FDE-85E1-FEF6FB79BDB6}" type="pres">
      <dgm:prSet presAssocID="{E3514140-7566-4226-915E-161E1769233B}" presName="connTx" presStyleLbl="parChTrans1D2" presStyleIdx="4" presStyleCnt="8"/>
      <dgm:spPr/>
    </dgm:pt>
    <dgm:pt modelId="{6FF24CE6-9EB1-4FF9-918A-2B64959B449A}" type="pres">
      <dgm:prSet presAssocID="{6032524E-CDC2-4CF9-B90A-DFBDE86BB9D0}" presName="node" presStyleLbl="node1" presStyleIdx="4" presStyleCnt="8" custScaleX="166933" custRadScaleRad="101337" custRadScaleInc="18190">
        <dgm:presLayoutVars>
          <dgm:bulletEnabled val="1"/>
        </dgm:presLayoutVars>
      </dgm:prSet>
      <dgm:spPr/>
    </dgm:pt>
    <dgm:pt modelId="{F85E9C59-3FB2-4B73-BA59-26B173C8F204}" type="pres">
      <dgm:prSet presAssocID="{0DA12B65-92F3-4B7E-A79D-D8011CB9029A}" presName="Name9" presStyleLbl="parChTrans1D2" presStyleIdx="5" presStyleCnt="8"/>
      <dgm:spPr/>
    </dgm:pt>
    <dgm:pt modelId="{12079630-CAB4-40A7-B8F1-61449409F274}" type="pres">
      <dgm:prSet presAssocID="{0DA12B65-92F3-4B7E-A79D-D8011CB9029A}" presName="connTx" presStyleLbl="parChTrans1D2" presStyleIdx="5" presStyleCnt="8"/>
      <dgm:spPr/>
    </dgm:pt>
    <dgm:pt modelId="{D5A66EF4-93EF-4512-A248-73D9D31C496F}" type="pres">
      <dgm:prSet presAssocID="{B16D1BDB-C96E-48A0-8C67-40159C7F2E63}" presName="node" presStyleLbl="node1" presStyleIdx="5" presStyleCnt="8" custScaleX="139035" custRadScaleRad="113940" custRadScaleInc="38470">
        <dgm:presLayoutVars>
          <dgm:bulletEnabled val="1"/>
        </dgm:presLayoutVars>
      </dgm:prSet>
      <dgm:spPr/>
    </dgm:pt>
    <dgm:pt modelId="{2E5D5A87-A769-41D8-93CB-2E988E44BCD4}" type="pres">
      <dgm:prSet presAssocID="{A939E469-2C38-43E4-97A7-DB669775C995}" presName="Name9" presStyleLbl="parChTrans1D2" presStyleIdx="6" presStyleCnt="8"/>
      <dgm:spPr/>
    </dgm:pt>
    <dgm:pt modelId="{1C875EEC-0008-473A-BF9D-FEB4ED03C9FD}" type="pres">
      <dgm:prSet presAssocID="{A939E469-2C38-43E4-97A7-DB669775C995}" presName="connTx" presStyleLbl="parChTrans1D2" presStyleIdx="6" presStyleCnt="8"/>
      <dgm:spPr/>
    </dgm:pt>
    <dgm:pt modelId="{0754D577-5DBF-4909-B4A8-77D1FD0FA715}" type="pres">
      <dgm:prSet presAssocID="{2D7417F6-71FD-4870-B5F6-FB03AFBB4C6B}" presName="node" presStyleLbl="node1" presStyleIdx="6" presStyleCnt="8" custScaleX="151793" custScaleY="104969" custRadScaleRad="113278" custRadScaleInc="479">
        <dgm:presLayoutVars>
          <dgm:bulletEnabled val="1"/>
        </dgm:presLayoutVars>
      </dgm:prSet>
      <dgm:spPr/>
    </dgm:pt>
    <dgm:pt modelId="{B5ABD024-67E7-470C-9385-46E8AF6A74AF}" type="pres">
      <dgm:prSet presAssocID="{0D041CA2-7024-469E-B2E2-7B2B8A644624}" presName="Name9" presStyleLbl="parChTrans1D2" presStyleIdx="7" presStyleCnt="8"/>
      <dgm:spPr/>
    </dgm:pt>
    <dgm:pt modelId="{CD2A44F7-123A-450D-998B-FB274F54385D}" type="pres">
      <dgm:prSet presAssocID="{0D041CA2-7024-469E-B2E2-7B2B8A644624}" presName="connTx" presStyleLbl="parChTrans1D2" presStyleIdx="7" presStyleCnt="8"/>
      <dgm:spPr/>
    </dgm:pt>
    <dgm:pt modelId="{59B3CF13-633D-44CE-B34B-FB60AE93AB9E}" type="pres">
      <dgm:prSet presAssocID="{36C01F20-0079-4B1B-BFE2-3E509C9ADF24}" presName="node" presStyleLbl="node1" presStyleIdx="7" presStyleCnt="8" custScaleX="151165" custScaleY="107717" custRadScaleRad="108406" custRadScaleInc="-25188">
        <dgm:presLayoutVars>
          <dgm:bulletEnabled val="1"/>
        </dgm:presLayoutVars>
      </dgm:prSet>
      <dgm:spPr/>
    </dgm:pt>
  </dgm:ptLst>
  <dgm:cxnLst>
    <dgm:cxn modelId="{EE9EDD01-D94F-44F3-B514-6B64C68D6716}" srcId="{31660F32-7996-4E93-8A0E-DDCBCA25C86C}" destId="{2D7417F6-71FD-4870-B5F6-FB03AFBB4C6B}" srcOrd="6" destOrd="0" parTransId="{A939E469-2C38-43E4-97A7-DB669775C995}" sibTransId="{A2712FE9-09C3-4BED-B6AF-B80773D86154}"/>
    <dgm:cxn modelId="{C3DDC003-DEC5-4B37-AE74-BB379D7A3496}" srcId="{69005E25-6BB7-436F-8ED7-857F222BAD65}" destId="{31660F32-7996-4E93-8A0E-DDCBCA25C86C}" srcOrd="0" destOrd="0" parTransId="{60D5F94D-CF75-4602-8E4E-68A7A7234ABD}" sibTransId="{7582E678-1EEE-4DC6-AFD3-5E65D0E5EDDB}"/>
    <dgm:cxn modelId="{D6A7AC0A-572E-4C28-BAE9-CC65C8274269}" srcId="{31660F32-7996-4E93-8A0E-DDCBCA25C86C}" destId="{36C01F20-0079-4B1B-BFE2-3E509C9ADF24}" srcOrd="7" destOrd="0" parTransId="{0D041CA2-7024-469E-B2E2-7B2B8A644624}" sibTransId="{5B1BA31B-3483-4340-962C-D4BA5F9F72DF}"/>
    <dgm:cxn modelId="{3D3F4C14-03C1-428D-824A-77D6990B3E8F}" type="presOf" srcId="{0DA12B65-92F3-4B7E-A79D-D8011CB9029A}" destId="{12079630-CAB4-40A7-B8F1-61449409F274}" srcOrd="1" destOrd="0" presId="urn:microsoft.com/office/officeart/2005/8/layout/radial1"/>
    <dgm:cxn modelId="{D1DFCA1A-737C-4665-9EA0-E15F51BB7CA9}" type="presOf" srcId="{E65C003E-9C51-4790-9528-7592FDC3AE72}" destId="{65FC9782-6CDC-4622-9D76-735B5DB48E56}" srcOrd="0" destOrd="0" presId="urn:microsoft.com/office/officeart/2005/8/layout/radial1"/>
    <dgm:cxn modelId="{81DB9F27-FE85-417F-9896-1224B3F610B6}" type="presOf" srcId="{6D8D5D4B-BE3F-4E50-86EB-900F65EE0424}" destId="{28AC2579-A768-4E63-A344-A10EA7A6CFF1}" srcOrd="0" destOrd="0" presId="urn:microsoft.com/office/officeart/2005/8/layout/radial1"/>
    <dgm:cxn modelId="{F28BAC29-F8C7-40A0-90E0-AEFB38F97580}" type="presOf" srcId="{A939E469-2C38-43E4-97A7-DB669775C995}" destId="{1C875EEC-0008-473A-BF9D-FEB4ED03C9FD}" srcOrd="1" destOrd="0" presId="urn:microsoft.com/office/officeart/2005/8/layout/radial1"/>
    <dgm:cxn modelId="{A9CBE136-5B9B-4B4B-B6D6-393B890D1C32}" type="presOf" srcId="{36C01F20-0079-4B1B-BFE2-3E509C9ADF24}" destId="{59B3CF13-633D-44CE-B34B-FB60AE93AB9E}" srcOrd="0" destOrd="0" presId="urn:microsoft.com/office/officeart/2005/8/layout/radial1"/>
    <dgm:cxn modelId="{D670F736-E6B3-416F-B212-A9B5B8AD9A2D}" type="presOf" srcId="{2BFDC17B-F6CB-4AF4-9CE9-5A5F9CB84A10}" destId="{EF4CB258-784A-4E7D-A858-3CC585E95C39}" srcOrd="1" destOrd="0" presId="urn:microsoft.com/office/officeart/2005/8/layout/radial1"/>
    <dgm:cxn modelId="{F45E0C44-6480-420D-995D-5429D3D52A86}" type="presOf" srcId="{2BFDC17B-F6CB-4AF4-9CE9-5A5F9CB84A10}" destId="{283B5162-9F7F-4A23-A776-B541B9036290}" srcOrd="0" destOrd="0" presId="urn:microsoft.com/office/officeart/2005/8/layout/radial1"/>
    <dgm:cxn modelId="{34F8E148-FF25-44CD-B3BE-8D7AAFC9602C}" srcId="{31660F32-7996-4E93-8A0E-DDCBCA25C86C}" destId="{2541253A-00FE-48AF-9FBC-EA0C294849AA}" srcOrd="2" destOrd="0" parTransId="{6D8D5D4B-BE3F-4E50-86EB-900F65EE0424}" sibTransId="{D611CFF2-E387-4378-B02E-3BF6CA9A6FE5}"/>
    <dgm:cxn modelId="{7F96DC73-BBAE-41E3-88EA-4CB1CE8D3AE1}" type="presOf" srcId="{A939E469-2C38-43E4-97A7-DB669775C995}" destId="{2E5D5A87-A769-41D8-93CB-2E988E44BCD4}" srcOrd="0" destOrd="0" presId="urn:microsoft.com/office/officeart/2005/8/layout/radial1"/>
    <dgm:cxn modelId="{15C0ED55-B13F-4463-82EE-61A6BA8C5DB3}" type="presOf" srcId="{0D041CA2-7024-469E-B2E2-7B2B8A644624}" destId="{CD2A44F7-123A-450D-998B-FB274F54385D}" srcOrd="1" destOrd="0" presId="urn:microsoft.com/office/officeart/2005/8/layout/radial1"/>
    <dgm:cxn modelId="{7FD10881-2D62-4048-B64E-D594C72B37F1}" type="presOf" srcId="{0D041CA2-7024-469E-B2E2-7B2B8A644624}" destId="{B5ABD024-67E7-470C-9385-46E8AF6A74AF}" srcOrd="0" destOrd="0" presId="urn:microsoft.com/office/officeart/2005/8/layout/radial1"/>
    <dgm:cxn modelId="{BAF60E85-0B7E-42E3-9DD0-900693A5F2B3}" srcId="{31660F32-7996-4E93-8A0E-DDCBCA25C86C}" destId="{E65C003E-9C51-4790-9528-7592FDC3AE72}" srcOrd="3" destOrd="0" parTransId="{2BFDC17B-F6CB-4AF4-9CE9-5A5F9CB84A10}" sibTransId="{80A234F4-32A5-494B-9AD3-4521A591237A}"/>
    <dgm:cxn modelId="{CBE28586-C14F-47C9-8971-F7B60BBAD678}" type="presOf" srcId="{6032524E-CDC2-4CF9-B90A-DFBDE86BB9D0}" destId="{6FF24CE6-9EB1-4FF9-918A-2B64959B449A}" srcOrd="0" destOrd="0" presId="urn:microsoft.com/office/officeart/2005/8/layout/radial1"/>
    <dgm:cxn modelId="{39CA778B-3D3F-4918-9AC9-6C3AB6C79E7C}" type="presOf" srcId="{21ED8961-49D7-4E00-B9CB-CF7952BD68AB}" destId="{7744E04E-7244-4154-B9A9-ED7039DCDB1D}" srcOrd="0" destOrd="0" presId="urn:microsoft.com/office/officeart/2005/8/layout/radial1"/>
    <dgm:cxn modelId="{4CAE0890-C8EB-43EF-9EFA-737E422FC677}" srcId="{31660F32-7996-4E93-8A0E-DDCBCA25C86C}" destId="{B16D1BDB-C96E-48A0-8C67-40159C7F2E63}" srcOrd="5" destOrd="0" parTransId="{0DA12B65-92F3-4B7E-A79D-D8011CB9029A}" sibTransId="{392F7160-C867-4B64-9E9E-6404C6E4340C}"/>
    <dgm:cxn modelId="{D6AB9594-C6F8-4C5A-9754-D091FD6AD566}" type="presOf" srcId="{E3514140-7566-4226-915E-161E1769233B}" destId="{747B3573-127F-4FDE-85E1-FEF6FB79BDB6}" srcOrd="1" destOrd="0" presId="urn:microsoft.com/office/officeart/2005/8/layout/radial1"/>
    <dgm:cxn modelId="{0E45F5A4-068C-422F-B4C9-5AC6116C70D6}" type="presOf" srcId="{69005E25-6BB7-436F-8ED7-857F222BAD65}" destId="{C41E0C78-CF13-4F37-98C3-8249B05A1A20}" srcOrd="0" destOrd="0" presId="urn:microsoft.com/office/officeart/2005/8/layout/radial1"/>
    <dgm:cxn modelId="{4FB080AB-FCCC-43E8-B109-2618CB159AB2}" type="presOf" srcId="{69BC1175-2415-4387-B147-D7B71F4CC516}" destId="{A8436723-900D-4CB4-A2E8-CFF6BB312BF0}" srcOrd="0" destOrd="0" presId="urn:microsoft.com/office/officeart/2005/8/layout/radial1"/>
    <dgm:cxn modelId="{5B0A8AAF-95AC-4434-8616-81F2D36DF31C}" type="presOf" srcId="{E3514140-7566-4226-915E-161E1769233B}" destId="{E3ECC952-9049-4EC7-B149-7993EC7D3720}" srcOrd="0" destOrd="0" presId="urn:microsoft.com/office/officeart/2005/8/layout/radial1"/>
    <dgm:cxn modelId="{2DD747B7-CA59-4579-8C2B-6D0186BB0D43}" type="presOf" srcId="{6D8D5D4B-BE3F-4E50-86EB-900F65EE0424}" destId="{24C312CA-3F05-422A-AF9F-FF6FB398BEAA}" srcOrd="1" destOrd="0" presId="urn:microsoft.com/office/officeart/2005/8/layout/radial1"/>
    <dgm:cxn modelId="{73DE81B8-DE7D-40DE-A007-594F98D2726C}" type="presOf" srcId="{69BC1175-2415-4387-B147-D7B71F4CC516}" destId="{88441565-2FE4-4BD2-8D46-D374BBA98709}" srcOrd="1" destOrd="0" presId="urn:microsoft.com/office/officeart/2005/8/layout/radial1"/>
    <dgm:cxn modelId="{B7805BBB-38E6-4011-9726-CFAD4C30CED9}" srcId="{31660F32-7996-4E93-8A0E-DDCBCA25C86C}" destId="{6032524E-CDC2-4CF9-B90A-DFBDE86BB9D0}" srcOrd="4" destOrd="0" parTransId="{E3514140-7566-4226-915E-161E1769233B}" sibTransId="{C0483836-DCF4-4AEC-9A59-AF086360E0A1}"/>
    <dgm:cxn modelId="{24E597BC-B259-4FEB-9B15-148235ED22CA}" type="presOf" srcId="{507F647A-A313-44A7-AF09-CE16AB23B0AB}" destId="{C6B0058F-5CC7-4D65-B610-F2D888B6BCD9}" srcOrd="1" destOrd="0" presId="urn:microsoft.com/office/officeart/2005/8/layout/radial1"/>
    <dgm:cxn modelId="{227FA6C1-8D7D-4B12-8A0A-D62C604800A3}" srcId="{31660F32-7996-4E93-8A0E-DDCBCA25C86C}" destId="{EDA639DB-168B-4D4B-BA5B-40F80AD17582}" srcOrd="1" destOrd="0" parTransId="{69BC1175-2415-4387-B147-D7B71F4CC516}" sibTransId="{71A9E45C-51EA-4E22-9BBF-0D062BCEA0A2}"/>
    <dgm:cxn modelId="{1B86D2C1-5A17-4096-8B2E-191018665A5B}" type="presOf" srcId="{EDA639DB-168B-4D4B-BA5B-40F80AD17582}" destId="{8B0CB17D-1E21-4037-8C0A-70D4D4C85E3D}" srcOrd="0" destOrd="0" presId="urn:microsoft.com/office/officeart/2005/8/layout/radial1"/>
    <dgm:cxn modelId="{95585CC7-EBAB-4012-B991-5B44C8E4DC60}" type="presOf" srcId="{31660F32-7996-4E93-8A0E-DDCBCA25C86C}" destId="{A71BA28D-A9B4-4D92-AF9D-6824543BA172}" srcOrd="0" destOrd="0" presId="urn:microsoft.com/office/officeart/2005/8/layout/radial1"/>
    <dgm:cxn modelId="{E4C2B5D6-8543-4265-A8DC-D14BE649E58C}" type="presOf" srcId="{B16D1BDB-C96E-48A0-8C67-40159C7F2E63}" destId="{D5A66EF4-93EF-4512-A248-73D9D31C496F}" srcOrd="0" destOrd="0" presId="urn:microsoft.com/office/officeart/2005/8/layout/radial1"/>
    <dgm:cxn modelId="{384500E5-C381-40C4-9986-AB15BBF2810F}" srcId="{69005E25-6BB7-436F-8ED7-857F222BAD65}" destId="{1485C894-CE63-41F3-AC29-1DF400451A61}" srcOrd="1" destOrd="0" parTransId="{743A9353-A386-4A14-8E15-880F42AD07A5}" sibTransId="{4CBEB67A-5250-43B9-B512-77855A870415}"/>
    <dgm:cxn modelId="{D63DBFED-0F8F-4783-8D72-6B25525C73FC}" type="presOf" srcId="{2D7417F6-71FD-4870-B5F6-FB03AFBB4C6B}" destId="{0754D577-5DBF-4909-B4A8-77D1FD0FA715}" srcOrd="0" destOrd="0" presId="urn:microsoft.com/office/officeart/2005/8/layout/radial1"/>
    <dgm:cxn modelId="{371BB3F4-7DC9-4774-A414-29E687985423}" type="presOf" srcId="{0DA12B65-92F3-4B7E-A79D-D8011CB9029A}" destId="{F85E9C59-3FB2-4B73-BA59-26B173C8F204}" srcOrd="0" destOrd="0" presId="urn:microsoft.com/office/officeart/2005/8/layout/radial1"/>
    <dgm:cxn modelId="{48975AFA-EAAB-442B-A075-1C3EF5E55726}" type="presOf" srcId="{507F647A-A313-44A7-AF09-CE16AB23B0AB}" destId="{7CD7DDB2-970A-4FC0-A5BF-D8322393B7C3}" srcOrd="0" destOrd="0" presId="urn:microsoft.com/office/officeart/2005/8/layout/radial1"/>
    <dgm:cxn modelId="{F29E96FC-53A7-410F-B544-BA1CF3E076D7}" type="presOf" srcId="{2541253A-00FE-48AF-9FBC-EA0C294849AA}" destId="{F2AF4659-A8F9-467C-A5E7-5805A0DD0C11}" srcOrd="0" destOrd="0" presId="urn:microsoft.com/office/officeart/2005/8/layout/radial1"/>
    <dgm:cxn modelId="{C644C3FF-E385-438C-8E1B-F7E8EBA5F768}" srcId="{31660F32-7996-4E93-8A0E-DDCBCA25C86C}" destId="{21ED8961-49D7-4E00-B9CB-CF7952BD68AB}" srcOrd="0" destOrd="0" parTransId="{507F647A-A313-44A7-AF09-CE16AB23B0AB}" sibTransId="{0E8EB5F1-CB52-4F09-8568-B8386C7C2ED7}"/>
    <dgm:cxn modelId="{D6A3DD83-4653-418D-845D-5A9ECDB53C0C}" type="presParOf" srcId="{C41E0C78-CF13-4F37-98C3-8249B05A1A20}" destId="{A71BA28D-A9B4-4D92-AF9D-6824543BA172}" srcOrd="0" destOrd="0" presId="urn:microsoft.com/office/officeart/2005/8/layout/radial1"/>
    <dgm:cxn modelId="{552148A0-F6C3-4FBC-92BE-977358429622}" type="presParOf" srcId="{C41E0C78-CF13-4F37-98C3-8249B05A1A20}" destId="{7CD7DDB2-970A-4FC0-A5BF-D8322393B7C3}" srcOrd="1" destOrd="0" presId="urn:microsoft.com/office/officeart/2005/8/layout/radial1"/>
    <dgm:cxn modelId="{827EEDC4-1A3B-493C-B9FA-C3CEF9B1DD79}" type="presParOf" srcId="{7CD7DDB2-970A-4FC0-A5BF-D8322393B7C3}" destId="{C6B0058F-5CC7-4D65-B610-F2D888B6BCD9}" srcOrd="0" destOrd="0" presId="urn:microsoft.com/office/officeart/2005/8/layout/radial1"/>
    <dgm:cxn modelId="{BE936A62-B814-4D90-97EF-6C599CDC35A8}" type="presParOf" srcId="{C41E0C78-CF13-4F37-98C3-8249B05A1A20}" destId="{7744E04E-7244-4154-B9A9-ED7039DCDB1D}" srcOrd="2" destOrd="0" presId="urn:microsoft.com/office/officeart/2005/8/layout/radial1"/>
    <dgm:cxn modelId="{E34EBCE6-7B29-496F-883E-A3F10AE2FF4D}" type="presParOf" srcId="{C41E0C78-CF13-4F37-98C3-8249B05A1A20}" destId="{A8436723-900D-4CB4-A2E8-CFF6BB312BF0}" srcOrd="3" destOrd="0" presId="urn:microsoft.com/office/officeart/2005/8/layout/radial1"/>
    <dgm:cxn modelId="{516FD9DC-AA54-4D0D-9E05-35B0B5E58147}" type="presParOf" srcId="{A8436723-900D-4CB4-A2E8-CFF6BB312BF0}" destId="{88441565-2FE4-4BD2-8D46-D374BBA98709}" srcOrd="0" destOrd="0" presId="urn:microsoft.com/office/officeart/2005/8/layout/radial1"/>
    <dgm:cxn modelId="{E6E594A4-E921-40C2-910A-4555938199EC}" type="presParOf" srcId="{C41E0C78-CF13-4F37-98C3-8249B05A1A20}" destId="{8B0CB17D-1E21-4037-8C0A-70D4D4C85E3D}" srcOrd="4" destOrd="0" presId="urn:microsoft.com/office/officeart/2005/8/layout/radial1"/>
    <dgm:cxn modelId="{9981C13E-99E6-4DD2-9669-03536A453B76}" type="presParOf" srcId="{C41E0C78-CF13-4F37-98C3-8249B05A1A20}" destId="{28AC2579-A768-4E63-A344-A10EA7A6CFF1}" srcOrd="5" destOrd="0" presId="urn:microsoft.com/office/officeart/2005/8/layout/radial1"/>
    <dgm:cxn modelId="{7394371B-1F26-41A3-B04E-FCFF89C58C89}" type="presParOf" srcId="{28AC2579-A768-4E63-A344-A10EA7A6CFF1}" destId="{24C312CA-3F05-422A-AF9F-FF6FB398BEAA}" srcOrd="0" destOrd="0" presId="urn:microsoft.com/office/officeart/2005/8/layout/radial1"/>
    <dgm:cxn modelId="{277E95D6-032E-4053-8B6B-0F0E8375534A}" type="presParOf" srcId="{C41E0C78-CF13-4F37-98C3-8249B05A1A20}" destId="{F2AF4659-A8F9-467C-A5E7-5805A0DD0C11}" srcOrd="6" destOrd="0" presId="urn:microsoft.com/office/officeart/2005/8/layout/radial1"/>
    <dgm:cxn modelId="{CBAE9519-F09C-44EE-A22E-5D1DDB6737E9}" type="presParOf" srcId="{C41E0C78-CF13-4F37-98C3-8249B05A1A20}" destId="{283B5162-9F7F-4A23-A776-B541B9036290}" srcOrd="7" destOrd="0" presId="urn:microsoft.com/office/officeart/2005/8/layout/radial1"/>
    <dgm:cxn modelId="{6962BD53-4212-41F5-A8D1-7A1DEC7819C8}" type="presParOf" srcId="{283B5162-9F7F-4A23-A776-B541B9036290}" destId="{EF4CB258-784A-4E7D-A858-3CC585E95C39}" srcOrd="0" destOrd="0" presId="urn:microsoft.com/office/officeart/2005/8/layout/radial1"/>
    <dgm:cxn modelId="{892AF307-0F2F-41EE-9E9B-DA7BB9976E3C}" type="presParOf" srcId="{C41E0C78-CF13-4F37-98C3-8249B05A1A20}" destId="{65FC9782-6CDC-4622-9D76-735B5DB48E56}" srcOrd="8" destOrd="0" presId="urn:microsoft.com/office/officeart/2005/8/layout/radial1"/>
    <dgm:cxn modelId="{4100FF57-5E0F-47E7-BFB9-8ED7C3D32AE6}" type="presParOf" srcId="{C41E0C78-CF13-4F37-98C3-8249B05A1A20}" destId="{E3ECC952-9049-4EC7-B149-7993EC7D3720}" srcOrd="9" destOrd="0" presId="urn:microsoft.com/office/officeart/2005/8/layout/radial1"/>
    <dgm:cxn modelId="{A003D8A2-EC40-44E5-A9B1-0ADD4833E9CE}" type="presParOf" srcId="{E3ECC952-9049-4EC7-B149-7993EC7D3720}" destId="{747B3573-127F-4FDE-85E1-FEF6FB79BDB6}" srcOrd="0" destOrd="0" presId="urn:microsoft.com/office/officeart/2005/8/layout/radial1"/>
    <dgm:cxn modelId="{91919418-45BB-4FCC-A183-6789D8CDCC3B}" type="presParOf" srcId="{C41E0C78-CF13-4F37-98C3-8249B05A1A20}" destId="{6FF24CE6-9EB1-4FF9-918A-2B64959B449A}" srcOrd="10" destOrd="0" presId="urn:microsoft.com/office/officeart/2005/8/layout/radial1"/>
    <dgm:cxn modelId="{AF83A502-6BE6-4FE5-A602-B2CE50303514}" type="presParOf" srcId="{C41E0C78-CF13-4F37-98C3-8249B05A1A20}" destId="{F85E9C59-3FB2-4B73-BA59-26B173C8F204}" srcOrd="11" destOrd="0" presId="urn:microsoft.com/office/officeart/2005/8/layout/radial1"/>
    <dgm:cxn modelId="{0E1E6E62-24C5-415D-A637-AF25FF681469}" type="presParOf" srcId="{F85E9C59-3FB2-4B73-BA59-26B173C8F204}" destId="{12079630-CAB4-40A7-B8F1-61449409F274}" srcOrd="0" destOrd="0" presId="urn:microsoft.com/office/officeart/2005/8/layout/radial1"/>
    <dgm:cxn modelId="{EFF65966-14B2-4686-A088-0E28FA30BAB7}" type="presParOf" srcId="{C41E0C78-CF13-4F37-98C3-8249B05A1A20}" destId="{D5A66EF4-93EF-4512-A248-73D9D31C496F}" srcOrd="12" destOrd="0" presId="urn:microsoft.com/office/officeart/2005/8/layout/radial1"/>
    <dgm:cxn modelId="{51196150-38F2-4745-960B-24E97DCD92F6}" type="presParOf" srcId="{C41E0C78-CF13-4F37-98C3-8249B05A1A20}" destId="{2E5D5A87-A769-41D8-93CB-2E988E44BCD4}" srcOrd="13" destOrd="0" presId="urn:microsoft.com/office/officeart/2005/8/layout/radial1"/>
    <dgm:cxn modelId="{04DE7011-B199-4726-AFE6-6383FE3B2A6D}" type="presParOf" srcId="{2E5D5A87-A769-41D8-93CB-2E988E44BCD4}" destId="{1C875EEC-0008-473A-BF9D-FEB4ED03C9FD}" srcOrd="0" destOrd="0" presId="urn:microsoft.com/office/officeart/2005/8/layout/radial1"/>
    <dgm:cxn modelId="{8947EFDD-A2FB-4077-BB94-BF74208D88FC}" type="presParOf" srcId="{C41E0C78-CF13-4F37-98C3-8249B05A1A20}" destId="{0754D577-5DBF-4909-B4A8-77D1FD0FA715}" srcOrd="14" destOrd="0" presId="urn:microsoft.com/office/officeart/2005/8/layout/radial1"/>
    <dgm:cxn modelId="{CDE15CD9-AD2D-4D9C-A9B2-7382DD372600}" type="presParOf" srcId="{C41E0C78-CF13-4F37-98C3-8249B05A1A20}" destId="{B5ABD024-67E7-470C-9385-46E8AF6A74AF}" srcOrd="15" destOrd="0" presId="urn:microsoft.com/office/officeart/2005/8/layout/radial1"/>
    <dgm:cxn modelId="{3E90D908-DEB0-48E8-BF7B-9DB3BBFE0427}" type="presParOf" srcId="{B5ABD024-67E7-470C-9385-46E8AF6A74AF}" destId="{CD2A44F7-123A-450D-998B-FB274F54385D}" srcOrd="0" destOrd="0" presId="urn:microsoft.com/office/officeart/2005/8/layout/radial1"/>
    <dgm:cxn modelId="{DF5CED54-A819-4FC2-A722-BEB249B2CD39}" type="presParOf" srcId="{C41E0C78-CF13-4F37-98C3-8249B05A1A20}" destId="{59B3CF13-633D-44CE-B34B-FB60AE93AB9E}" srcOrd="16" destOrd="0" presId="urn:microsoft.com/office/officeart/2005/8/layout/radial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1BA28D-A9B4-4D92-AF9D-6824543BA172}">
      <dsp:nvSpPr>
        <dsp:cNvPr id="0" name=""/>
        <dsp:cNvSpPr/>
      </dsp:nvSpPr>
      <dsp:spPr>
        <a:xfrm>
          <a:off x="2174277" y="1062508"/>
          <a:ext cx="948349" cy="61818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latin typeface="Arial" panose="020B0604020202020204" pitchFamily="34" charset="0"/>
              <a:cs typeface="Arial" panose="020B0604020202020204" pitchFamily="34" charset="0"/>
            </a:rPr>
            <a:t>Patient Safety Priorities</a:t>
          </a:r>
        </a:p>
      </dsp:txBody>
      <dsp:txXfrm>
        <a:off x="2313159" y="1153039"/>
        <a:ext cx="670585" cy="437121"/>
      </dsp:txXfrm>
    </dsp:sp>
    <dsp:sp modelId="{7CD7DDB2-970A-4FC0-A5BF-D8322393B7C3}">
      <dsp:nvSpPr>
        <dsp:cNvPr id="0" name=""/>
        <dsp:cNvSpPr/>
      </dsp:nvSpPr>
      <dsp:spPr>
        <a:xfrm rot="16200000">
          <a:off x="2431957" y="835449"/>
          <a:ext cx="432991" cy="21125"/>
        </a:xfrm>
        <a:custGeom>
          <a:avLst/>
          <a:gdLst/>
          <a:ahLst/>
          <a:cxnLst/>
          <a:rect l="0" t="0" r="0" b="0"/>
          <a:pathLst>
            <a:path>
              <a:moveTo>
                <a:pt x="0" y="10562"/>
              </a:moveTo>
              <a:lnTo>
                <a:pt x="432991" y="105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latin typeface="Arial" panose="020B0604020202020204" pitchFamily="34" charset="0"/>
            <a:cs typeface="Arial" panose="020B0604020202020204" pitchFamily="34" charset="0"/>
          </a:endParaRPr>
        </a:p>
      </dsp:txBody>
      <dsp:txXfrm>
        <a:off x="2637627" y="835187"/>
        <a:ext cx="21649" cy="21649"/>
      </dsp:txXfrm>
    </dsp:sp>
    <dsp:sp modelId="{7744E04E-7244-4154-B9A9-ED7039DCDB1D}">
      <dsp:nvSpPr>
        <dsp:cNvPr id="0" name=""/>
        <dsp:cNvSpPr/>
      </dsp:nvSpPr>
      <dsp:spPr>
        <a:xfrm>
          <a:off x="2187822" y="11333"/>
          <a:ext cx="921260" cy="61818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&gt;21000 incidents</a:t>
          </a:r>
        </a:p>
      </dsp:txBody>
      <dsp:txXfrm>
        <a:off x="2322737" y="101864"/>
        <a:ext cx="651430" cy="437121"/>
      </dsp:txXfrm>
    </dsp:sp>
    <dsp:sp modelId="{A8436723-900D-4CB4-A2E8-CFF6BB312BF0}">
      <dsp:nvSpPr>
        <dsp:cNvPr id="0" name=""/>
        <dsp:cNvSpPr/>
      </dsp:nvSpPr>
      <dsp:spPr>
        <a:xfrm rot="19295915">
          <a:off x="2912710" y="1016261"/>
          <a:ext cx="341437" cy="21125"/>
        </a:xfrm>
        <a:custGeom>
          <a:avLst/>
          <a:gdLst/>
          <a:ahLst/>
          <a:cxnLst/>
          <a:rect l="0" t="0" r="0" b="0"/>
          <a:pathLst>
            <a:path>
              <a:moveTo>
                <a:pt x="0" y="10562"/>
              </a:moveTo>
              <a:lnTo>
                <a:pt x="341437" y="105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latin typeface="Arial" panose="020B0604020202020204" pitchFamily="34" charset="0"/>
            <a:cs typeface="Arial" panose="020B0604020202020204" pitchFamily="34" charset="0"/>
          </a:endParaRPr>
        </a:p>
      </dsp:txBody>
      <dsp:txXfrm>
        <a:off x="3074893" y="1018288"/>
        <a:ext cx="17071" cy="17071"/>
      </dsp:txXfrm>
    </dsp:sp>
    <dsp:sp modelId="{8B0CB17D-1E21-4037-8C0A-70D4D4C85E3D}">
      <dsp:nvSpPr>
        <dsp:cNvPr id="0" name=""/>
        <dsp:cNvSpPr/>
      </dsp:nvSpPr>
      <dsp:spPr>
        <a:xfrm>
          <a:off x="3036977" y="374388"/>
          <a:ext cx="964459" cy="61404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&gt;500 complaints</a:t>
          </a:r>
        </a:p>
      </dsp:txBody>
      <dsp:txXfrm>
        <a:off x="3178219" y="464313"/>
        <a:ext cx="681975" cy="434198"/>
      </dsp:txXfrm>
    </dsp:sp>
    <dsp:sp modelId="{28AC2579-A768-4E63-A344-A10EA7A6CFF1}">
      <dsp:nvSpPr>
        <dsp:cNvPr id="0" name=""/>
        <dsp:cNvSpPr/>
      </dsp:nvSpPr>
      <dsp:spPr>
        <a:xfrm rot="21425324">
          <a:off x="3120979" y="1328671"/>
          <a:ext cx="327805" cy="21125"/>
        </a:xfrm>
        <a:custGeom>
          <a:avLst/>
          <a:gdLst/>
          <a:ahLst/>
          <a:cxnLst/>
          <a:rect l="0" t="0" r="0" b="0"/>
          <a:pathLst>
            <a:path>
              <a:moveTo>
                <a:pt x="0" y="10562"/>
              </a:moveTo>
              <a:lnTo>
                <a:pt x="327805" y="105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latin typeface="Arial" panose="020B0604020202020204" pitchFamily="34" charset="0"/>
            <a:cs typeface="Arial" panose="020B0604020202020204" pitchFamily="34" charset="0"/>
          </a:endParaRPr>
        </a:p>
      </dsp:txBody>
      <dsp:txXfrm>
        <a:off x="3276687" y="1331039"/>
        <a:ext cx="16390" cy="16390"/>
      </dsp:txXfrm>
    </dsp:sp>
    <dsp:sp modelId="{F2AF4659-A8F9-467C-A5E7-5805A0DD0C11}">
      <dsp:nvSpPr>
        <dsp:cNvPr id="0" name=""/>
        <dsp:cNvSpPr/>
      </dsp:nvSpPr>
      <dsp:spPr>
        <a:xfrm>
          <a:off x="3447428" y="999520"/>
          <a:ext cx="879199" cy="61818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22 claims</a:t>
          </a:r>
        </a:p>
      </dsp:txBody>
      <dsp:txXfrm>
        <a:off x="3576184" y="1090051"/>
        <a:ext cx="621687" cy="437121"/>
      </dsp:txXfrm>
    </dsp:sp>
    <dsp:sp modelId="{283B5162-9F7F-4A23-A776-B541B9036290}">
      <dsp:nvSpPr>
        <dsp:cNvPr id="0" name=""/>
        <dsp:cNvSpPr/>
      </dsp:nvSpPr>
      <dsp:spPr>
        <a:xfrm rot="2560599">
          <a:off x="2876772" y="1729672"/>
          <a:ext cx="342986" cy="21125"/>
        </a:xfrm>
        <a:custGeom>
          <a:avLst/>
          <a:gdLst/>
          <a:ahLst/>
          <a:cxnLst/>
          <a:rect l="0" t="0" r="0" b="0"/>
          <a:pathLst>
            <a:path>
              <a:moveTo>
                <a:pt x="0" y="10562"/>
              </a:moveTo>
              <a:lnTo>
                <a:pt x="342986" y="105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latin typeface="Arial" panose="020B0604020202020204" pitchFamily="34" charset="0"/>
            <a:cs typeface="Arial" panose="020B0604020202020204" pitchFamily="34" charset="0"/>
          </a:endParaRPr>
        </a:p>
      </dsp:txBody>
      <dsp:txXfrm>
        <a:off x="3039691" y="1731660"/>
        <a:ext cx="17149" cy="17149"/>
      </dsp:txXfrm>
    </dsp:sp>
    <dsp:sp modelId="{65FC9782-6CDC-4622-9D76-735B5DB48E56}">
      <dsp:nvSpPr>
        <dsp:cNvPr id="0" name=""/>
        <dsp:cNvSpPr/>
      </dsp:nvSpPr>
      <dsp:spPr>
        <a:xfrm>
          <a:off x="3001481" y="1793127"/>
          <a:ext cx="878766" cy="61818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39 inquests</a:t>
          </a:r>
        </a:p>
      </dsp:txBody>
      <dsp:txXfrm>
        <a:off x="3130173" y="1883658"/>
        <a:ext cx="621382" cy="437121"/>
      </dsp:txXfrm>
    </dsp:sp>
    <dsp:sp modelId="{E3ECC952-9049-4EC7-B149-7993EC7D3720}">
      <dsp:nvSpPr>
        <dsp:cNvPr id="0" name=""/>
        <dsp:cNvSpPr/>
      </dsp:nvSpPr>
      <dsp:spPr>
        <a:xfrm rot="5645566">
          <a:off x="2387400" y="1892265"/>
          <a:ext cx="446080" cy="21125"/>
        </a:xfrm>
        <a:custGeom>
          <a:avLst/>
          <a:gdLst/>
          <a:ahLst/>
          <a:cxnLst/>
          <a:rect l="0" t="0" r="0" b="0"/>
          <a:pathLst>
            <a:path>
              <a:moveTo>
                <a:pt x="0" y="10562"/>
              </a:moveTo>
              <a:lnTo>
                <a:pt x="446080" y="105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latin typeface="Arial" panose="020B0604020202020204" pitchFamily="34" charset="0"/>
            <a:cs typeface="Arial" panose="020B0604020202020204" pitchFamily="34" charset="0"/>
          </a:endParaRPr>
        </a:p>
      </dsp:txBody>
      <dsp:txXfrm rot="10800000">
        <a:off x="2599289" y="1891675"/>
        <a:ext cx="22304" cy="22304"/>
      </dsp:txXfrm>
    </dsp:sp>
    <dsp:sp modelId="{6FF24CE6-9EB1-4FF9-918A-2B64959B449A}">
      <dsp:nvSpPr>
        <dsp:cNvPr id="0" name=""/>
        <dsp:cNvSpPr/>
      </dsp:nvSpPr>
      <dsp:spPr>
        <a:xfrm>
          <a:off x="2056449" y="2125016"/>
          <a:ext cx="1031952" cy="61818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Learning from deaths</a:t>
          </a:r>
        </a:p>
      </dsp:txBody>
      <dsp:txXfrm>
        <a:off x="2207575" y="2215547"/>
        <a:ext cx="729700" cy="437121"/>
      </dsp:txXfrm>
    </dsp:sp>
    <dsp:sp modelId="{F85E9C59-3FB2-4B73-BA59-26B173C8F204}">
      <dsp:nvSpPr>
        <dsp:cNvPr id="0" name=""/>
        <dsp:cNvSpPr/>
      </dsp:nvSpPr>
      <dsp:spPr>
        <a:xfrm rot="8619345">
          <a:off x="1941891" y="1721103"/>
          <a:ext cx="434367" cy="21125"/>
        </a:xfrm>
        <a:custGeom>
          <a:avLst/>
          <a:gdLst/>
          <a:ahLst/>
          <a:cxnLst/>
          <a:rect l="0" t="0" r="0" b="0"/>
          <a:pathLst>
            <a:path>
              <a:moveTo>
                <a:pt x="0" y="10562"/>
              </a:moveTo>
              <a:lnTo>
                <a:pt x="434367" y="105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2148215" y="1720806"/>
        <a:ext cx="21718" cy="21718"/>
      </dsp:txXfrm>
    </dsp:sp>
    <dsp:sp modelId="{D5A66EF4-93EF-4512-A248-73D9D31C496F}">
      <dsp:nvSpPr>
        <dsp:cNvPr id="0" name=""/>
        <dsp:cNvSpPr/>
      </dsp:nvSpPr>
      <dsp:spPr>
        <a:xfrm>
          <a:off x="1253987" y="1772312"/>
          <a:ext cx="859492" cy="61818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Risk register</a:t>
          </a:r>
        </a:p>
      </dsp:txBody>
      <dsp:txXfrm>
        <a:off x="1379857" y="1862843"/>
        <a:ext cx="607752" cy="437121"/>
      </dsp:txXfrm>
    </dsp:sp>
    <dsp:sp modelId="{2E5D5A87-A769-41D8-93CB-2E988E44BCD4}">
      <dsp:nvSpPr>
        <dsp:cNvPr id="0" name=""/>
        <dsp:cNvSpPr/>
      </dsp:nvSpPr>
      <dsp:spPr>
        <a:xfrm rot="10806466">
          <a:off x="1926882" y="1359912"/>
          <a:ext cx="247397" cy="21125"/>
        </a:xfrm>
        <a:custGeom>
          <a:avLst/>
          <a:gdLst/>
          <a:ahLst/>
          <a:cxnLst/>
          <a:rect l="0" t="0" r="0" b="0"/>
          <a:pathLst>
            <a:path>
              <a:moveTo>
                <a:pt x="0" y="10562"/>
              </a:moveTo>
              <a:lnTo>
                <a:pt x="247397" y="105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2044396" y="1364290"/>
        <a:ext cx="12369" cy="12369"/>
      </dsp:txXfrm>
    </dsp:sp>
    <dsp:sp modelId="{0754D577-5DBF-4909-B4A8-77D1FD0FA715}">
      <dsp:nvSpPr>
        <dsp:cNvPr id="0" name=""/>
        <dsp:cNvSpPr/>
      </dsp:nvSpPr>
      <dsp:spPr>
        <a:xfrm>
          <a:off x="988524" y="1044909"/>
          <a:ext cx="938359" cy="64890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40 Freedom to Speak Up</a:t>
          </a:r>
        </a:p>
      </dsp:txBody>
      <dsp:txXfrm>
        <a:off x="1125943" y="1139938"/>
        <a:ext cx="663521" cy="458843"/>
      </dsp:txXfrm>
    </dsp:sp>
    <dsp:sp modelId="{B5ABD024-67E7-470C-9385-46E8AF6A74AF}">
      <dsp:nvSpPr>
        <dsp:cNvPr id="0" name=""/>
        <dsp:cNvSpPr/>
      </dsp:nvSpPr>
      <dsp:spPr>
        <a:xfrm rot="13159962">
          <a:off x="2032697" y="1004578"/>
          <a:ext cx="361508" cy="21125"/>
        </a:xfrm>
        <a:custGeom>
          <a:avLst/>
          <a:gdLst/>
          <a:ahLst/>
          <a:cxnLst/>
          <a:rect l="0" t="0" r="0" b="0"/>
          <a:pathLst>
            <a:path>
              <a:moveTo>
                <a:pt x="0" y="10562"/>
              </a:moveTo>
              <a:lnTo>
                <a:pt x="361508" y="105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2204414" y="1006103"/>
        <a:ext cx="18075" cy="18075"/>
      </dsp:txXfrm>
    </dsp:sp>
    <dsp:sp modelId="{59B3CF13-633D-44CE-B34B-FB60AE93AB9E}">
      <dsp:nvSpPr>
        <dsp:cNvPr id="0" name=""/>
        <dsp:cNvSpPr/>
      </dsp:nvSpPr>
      <dsp:spPr>
        <a:xfrm>
          <a:off x="1299806" y="316391"/>
          <a:ext cx="934477" cy="66588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19 MRSA post infection review</a:t>
          </a:r>
        </a:p>
      </dsp:txBody>
      <dsp:txXfrm>
        <a:off x="1436657" y="413908"/>
        <a:ext cx="660775" cy="47085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AC06ADD7EA74395EB9E853C7AFA71" ma:contentTypeVersion="19" ma:contentTypeDescription="Create a new document." ma:contentTypeScope="" ma:versionID="deedae2f03c4dd2222cc19dd187d088e">
  <xsd:schema xmlns:xsd="http://www.w3.org/2001/XMLSchema" xmlns:xs="http://www.w3.org/2001/XMLSchema" xmlns:p="http://schemas.microsoft.com/office/2006/metadata/properties" xmlns:ns2="768272ff-30e2-44e5-bc00-e42a8654cac1" xmlns:ns3="cccaf3ac-2de9-44d4-aa31-54302fceb5f7" targetNamespace="http://schemas.microsoft.com/office/2006/metadata/properties" ma:root="true" ma:fieldsID="d3042bae77416b548e92cb0761bc0245" ns2:_="" ns3:_="">
    <xsd:import namespace="768272ff-30e2-44e5-bc00-e42a8654cac1"/>
    <xsd:import namespace="cccaf3ac-2de9-44d4-aa31-54302fceb5f7"/>
    <xsd:element name="properties">
      <xsd:complexType>
        <xsd:sequence>
          <xsd:element name="documentManagement">
            <xsd:complexType>
              <xsd:all>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272ff-30e2-44e5-bc00-e42a8654cac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76c0586-99a1-427c-ac2f-3e117a8f572b}" ma:internalName="TaxCatchAll" ma:showField="CatchAllData" ma:web="6435f83e-f2ef-42f9-890b-f3e7eb76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8272ff-30e2-44e5-bc00-e42a8654cac1">
      <Terms xmlns="http://schemas.microsoft.com/office/infopath/2007/PartnerControls"/>
    </lcf76f155ced4ddcb4097134ff3c332f>
    <TaxCatchAll xmlns="cccaf3ac-2de9-44d4-aa31-54302fceb5f7" xsi:nil="true"/>
  </documentManagement>
</p:properties>
</file>

<file path=customXml/itemProps1.xml><?xml version="1.0" encoding="utf-8"?>
<ds:datastoreItem xmlns:ds="http://schemas.openxmlformats.org/officeDocument/2006/customXml" ds:itemID="{B05650F9-7A1E-4D49-B3E1-D30D2FB11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272ff-30e2-44e5-bc00-e42a8654cac1"/>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BA4F14-8B12-403B-BDAD-335EE1B3DEB3}">
  <ds:schemaRefs>
    <ds:schemaRef ds:uri="http://schemas.openxmlformats.org/officeDocument/2006/bibliography"/>
  </ds:schemaRefs>
</ds:datastoreItem>
</file>

<file path=customXml/itemProps3.xml><?xml version="1.0" encoding="utf-8"?>
<ds:datastoreItem xmlns:ds="http://schemas.openxmlformats.org/officeDocument/2006/customXml" ds:itemID="{C633ECCC-9F90-4910-8AC8-E7A552795F33}">
  <ds:schemaRefs>
    <ds:schemaRef ds:uri="http://schemas.microsoft.com/sharepoint/v3/contenttype/forms"/>
  </ds:schemaRefs>
</ds:datastoreItem>
</file>

<file path=customXml/itemProps4.xml><?xml version="1.0" encoding="utf-8"?>
<ds:datastoreItem xmlns:ds="http://schemas.openxmlformats.org/officeDocument/2006/customXml" ds:itemID="{CC37483B-605E-4E68-9034-3CCA05E12A25}">
  <ds:schemaRefs>
    <ds:schemaRef ds:uri="http://schemas.microsoft.com/office/2006/metadata/properties"/>
    <ds:schemaRef ds:uri="http://schemas.microsoft.com/office/infopath/2007/PartnerControls"/>
    <ds:schemaRef ds:uri="768272ff-30e2-44e5-bc00-e42a8654cac1"/>
    <ds:schemaRef ds:uri="cccaf3ac-2de9-44d4-aa31-54302fceb5f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4487</Words>
  <Characters>25577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forsyth</dc:creator>
  <cp:keywords/>
  <cp:lastModifiedBy>SORBY, Sheila (LEEDS COMMUNITY HEALTHCARE NHS TRUST)</cp:lastModifiedBy>
  <cp:revision>2</cp:revision>
  <dcterms:created xsi:type="dcterms:W3CDTF">2024-03-18T16:28:00Z</dcterms:created>
  <dcterms:modified xsi:type="dcterms:W3CDTF">2024-03-18T16:28:00Z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0x010100E6FAC06ADD7EA74395EB9E853C7AFA71</vt:lpwstr>
  </property>
  <property fmtid="{D5CDD505-2E9C-101B-9397-08002B2CF9AE}" pid="3" name="MediaServiceImageTags">
    <vt:lpwstr/>
  </property>
</Properties>
</file>