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AA2B" w14:textId="77777777" w:rsidR="00646871" w:rsidRDefault="00000000" w:rsidP="007B327B">
      <w:pPr>
        <w:spacing w:after="83" w:line="259" w:lineRule="auto"/>
        <w:ind w:left="0" w:firstLine="0"/>
        <w:jc w:val="right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08A6456" wp14:editId="383826D0">
            <wp:extent cx="2254250" cy="141414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332D0957" w14:textId="77777777" w:rsidR="00646871" w:rsidRDefault="00000000">
      <w:pPr>
        <w:spacing w:after="188" w:line="259" w:lineRule="auto"/>
        <w:ind w:left="0" w:firstLine="0"/>
        <w:jc w:val="left"/>
      </w:pPr>
      <w:r>
        <w:rPr>
          <w:rFonts w:ascii="Calibri" w:eastAsia="Calibri" w:hAnsi="Calibri" w:cs="Calibri"/>
          <w:b/>
          <w:color w:val="104862"/>
          <w:sz w:val="32"/>
        </w:rPr>
        <w:t xml:space="preserve"> </w:t>
      </w:r>
    </w:p>
    <w:p w14:paraId="7F878C93" w14:textId="3FF3B8BB" w:rsidR="00646871" w:rsidRDefault="00000000" w:rsidP="007B327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color w:val="104862"/>
          <w:sz w:val="32"/>
        </w:rPr>
        <w:t xml:space="preserve"> </w:t>
      </w:r>
    </w:p>
    <w:p w14:paraId="0E28D42C" w14:textId="77777777" w:rsidR="00646871" w:rsidRDefault="00000000">
      <w:pPr>
        <w:pStyle w:val="Heading1"/>
        <w:numPr>
          <w:ilvl w:val="0"/>
          <w:numId w:val="0"/>
        </w:numPr>
        <w:ind w:left="10" w:right="4048"/>
        <w:jc w:val="right"/>
      </w:pPr>
      <w:bookmarkStart w:id="0" w:name="_Toc60175"/>
      <w:r>
        <w:rPr>
          <w:sz w:val="24"/>
        </w:rPr>
        <w:t xml:space="preserve">APPENDIX 2 – Flexible Working Application Form </w:t>
      </w:r>
      <w:bookmarkEnd w:id="0"/>
    </w:p>
    <w:p w14:paraId="4F605DB2" w14:textId="77777777" w:rsidR="00646871" w:rsidRDefault="00000000">
      <w:pPr>
        <w:spacing w:after="132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EF75AF8" w14:textId="77777777" w:rsidR="00646871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254" w:type="dxa"/>
        <w:tblInd w:w="490" w:type="dxa"/>
        <w:tblCellMar>
          <w:top w:w="52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216"/>
        <w:gridCol w:w="3286"/>
        <w:gridCol w:w="1561"/>
        <w:gridCol w:w="2191"/>
      </w:tblGrid>
      <w:tr w:rsidR="00646871" w14:paraId="567F481D" w14:textId="77777777">
        <w:trPr>
          <w:trHeight w:val="42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5C0" w14:textId="77777777" w:rsidR="00646871" w:rsidRDefault="00000000">
            <w:pPr>
              <w:spacing w:after="0" w:line="259" w:lineRule="auto"/>
              <w:ind w:left="115" w:firstLine="0"/>
            </w:pPr>
            <w:r>
              <w:rPr>
                <w:b/>
              </w:rPr>
              <w:t>Employee’s name: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7F6F" w14:textId="77777777" w:rsidR="00646871" w:rsidRDefault="00000000">
            <w:pPr>
              <w:spacing w:after="0" w:line="259" w:lineRule="auto"/>
              <w:ind w:left="-25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8024" w14:textId="77777777" w:rsidR="00646871" w:rsidRDefault="00000000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Team/Dept: 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578" w14:textId="77777777" w:rsidR="00646871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46871" w14:paraId="3818F594" w14:textId="77777777">
        <w:trPr>
          <w:trHeight w:val="42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7379" w14:textId="77777777" w:rsidR="00646871" w:rsidRDefault="00000000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Manager’s name: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B3A" w14:textId="77777777" w:rsidR="00646871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F3B3" w14:textId="77777777" w:rsidR="00646871" w:rsidRDefault="00646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D345" w14:textId="77777777" w:rsidR="00646871" w:rsidRDefault="00646871">
            <w:pPr>
              <w:spacing w:after="160" w:line="259" w:lineRule="auto"/>
              <w:ind w:left="0" w:firstLine="0"/>
              <w:jc w:val="left"/>
            </w:pPr>
          </w:p>
        </w:tc>
      </w:tr>
      <w:tr w:rsidR="00646871" w14:paraId="33E12D52" w14:textId="77777777">
        <w:trPr>
          <w:trHeight w:val="1461"/>
        </w:trPr>
        <w:tc>
          <w:tcPr>
            <w:tcW w:w="9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FDD1" w14:textId="77777777" w:rsidR="00646871" w:rsidRDefault="00000000">
            <w:pPr>
              <w:spacing w:after="161" w:line="246" w:lineRule="auto"/>
              <w:ind w:left="446" w:right="300" w:hanging="196"/>
            </w:pPr>
            <w:r>
              <w:t xml:space="preserve">I would like to apply to work a flexible working pattern that is different to my current working pattern under my right provided under section 80F of the Employment Rights Act 1996. I confirm I meet each the eligibility criteria as follows: </w:t>
            </w:r>
          </w:p>
          <w:p w14:paraId="6BC3069A" w14:textId="77777777" w:rsidR="00646871" w:rsidRDefault="00000000">
            <w:pPr>
              <w:spacing w:after="0" w:line="259" w:lineRule="auto"/>
              <w:ind w:left="1046" w:firstLine="0"/>
              <w:jc w:val="left"/>
            </w:pPr>
            <w:r>
              <w:t>*</w:t>
            </w:r>
            <w:proofErr w:type="gramStart"/>
            <w:r>
              <w:rPr>
                <w:sz w:val="20"/>
              </w:rPr>
              <w:t>this</w:t>
            </w:r>
            <w:proofErr w:type="gramEnd"/>
            <w:r>
              <w:rPr>
                <w:sz w:val="20"/>
              </w:rPr>
              <w:t xml:space="preserve"> may be waived if applying for reasonable adjustments under the Equality Act 2010 </w:t>
            </w:r>
          </w:p>
        </w:tc>
      </w:tr>
      <w:tr w:rsidR="00646871" w14:paraId="7BFA87DC" w14:textId="77777777">
        <w:trPr>
          <w:trHeight w:val="83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181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Current working pattern: 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6CFA" w14:textId="77777777" w:rsidR="00646871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46871" w14:paraId="0832B5AB" w14:textId="77777777">
        <w:trPr>
          <w:trHeight w:val="84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958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Proposed working pattern: 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49B6" w14:textId="77777777" w:rsidR="00646871" w:rsidRDefault="00000000">
            <w:pPr>
              <w:spacing w:after="0" w:line="259" w:lineRule="auto"/>
              <w:ind w:left="-3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46871" w14:paraId="6172B99A" w14:textId="77777777">
        <w:trPr>
          <w:trHeight w:val="845"/>
        </w:trPr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701FD7" w14:textId="77777777" w:rsidR="00646871" w:rsidRDefault="00000000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I would like the new working pattern to commence from: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822FDC" w14:textId="77777777" w:rsidR="00646871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46871" w14:paraId="4528969E" w14:textId="77777777">
        <w:trPr>
          <w:trHeight w:val="880"/>
        </w:trPr>
        <w:tc>
          <w:tcPr>
            <w:tcW w:w="925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2902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Impact of the new working pattern </w:t>
            </w:r>
          </w:p>
          <w:p w14:paraId="09FCDFF6" w14:textId="77777777" w:rsidR="00646871" w:rsidRDefault="00000000">
            <w:pPr>
              <w:spacing w:after="0" w:line="259" w:lineRule="auto"/>
              <w:ind w:left="115" w:firstLine="0"/>
            </w:pPr>
            <w:r>
              <w:t xml:space="preserve">I think this change in my working pattern will affect me, service delivery and my colleagues as follows: </w:t>
            </w:r>
          </w:p>
        </w:tc>
      </w:tr>
      <w:tr w:rsidR="00646871" w14:paraId="0E2C676D" w14:textId="77777777">
        <w:trPr>
          <w:trHeight w:val="2491"/>
        </w:trPr>
        <w:tc>
          <w:tcPr>
            <w:tcW w:w="9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25B" w14:textId="77777777" w:rsidR="00646871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</w:tc>
      </w:tr>
      <w:tr w:rsidR="00646871" w14:paraId="7C171F82" w14:textId="77777777">
        <w:trPr>
          <w:trHeight w:val="980"/>
        </w:trPr>
        <w:tc>
          <w:tcPr>
            <w:tcW w:w="9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7652" w14:textId="77777777" w:rsidR="00646871" w:rsidRDefault="00000000">
            <w:pPr>
              <w:spacing w:after="102" w:line="259" w:lineRule="auto"/>
              <w:ind w:left="115" w:firstLine="0"/>
              <w:jc w:val="left"/>
            </w:pPr>
            <w:r>
              <w:rPr>
                <w:b/>
              </w:rPr>
              <w:t xml:space="preserve">Accommodating the new working pattern </w:t>
            </w:r>
          </w:p>
          <w:p w14:paraId="06300AB3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I think the effect on </w:t>
            </w:r>
            <w:proofErr w:type="gramStart"/>
            <w:r>
              <w:t>me,</w:t>
            </w:r>
            <w:proofErr w:type="gramEnd"/>
            <w:r>
              <w:t xml:space="preserve"> service delivery and my colleagues can be dealt with as follows: </w:t>
            </w:r>
          </w:p>
        </w:tc>
      </w:tr>
      <w:tr w:rsidR="00646871" w14:paraId="6927F46D" w14:textId="77777777">
        <w:trPr>
          <w:trHeight w:val="2496"/>
        </w:trPr>
        <w:tc>
          <w:tcPr>
            <w:tcW w:w="9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BE0E" w14:textId="77777777" w:rsidR="00646871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3CD8F588" w14:textId="77777777" w:rsidR="00646871" w:rsidRDefault="0000000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6A502684" w14:textId="77777777" w:rsidR="00646871" w:rsidRDefault="0000000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1FE27411" w14:textId="77777777" w:rsidR="00646871" w:rsidRDefault="0000000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9249" w:type="dxa"/>
        <w:tblInd w:w="490" w:type="dxa"/>
        <w:tblCellMar>
          <w:top w:w="5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737"/>
      </w:tblGrid>
      <w:tr w:rsidR="00646871" w14:paraId="413EDE1F" w14:textId="77777777">
        <w:trPr>
          <w:trHeight w:val="1666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690C" w14:textId="77777777" w:rsidR="00646871" w:rsidRDefault="00000000">
            <w:pPr>
              <w:spacing w:after="122" w:line="259" w:lineRule="auto"/>
              <w:ind w:left="115" w:firstLine="0"/>
              <w:jc w:val="left"/>
            </w:pPr>
            <w:r>
              <w:rPr>
                <w:b/>
              </w:rPr>
              <w:t xml:space="preserve">Supporting information </w:t>
            </w:r>
          </w:p>
          <w:p w14:paraId="7849C606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Include any information that may help your manager understand the reason for the request e.g. caring responsibilities, adjustments related to a disability, flexible retirement </w:t>
            </w:r>
          </w:p>
        </w:tc>
      </w:tr>
      <w:tr w:rsidR="00646871" w14:paraId="51D84D7A" w14:textId="77777777">
        <w:trPr>
          <w:trHeight w:val="9532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348A" w14:textId="77777777" w:rsidR="00646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</w:tc>
      </w:tr>
      <w:tr w:rsidR="00646871" w14:paraId="6FA95D16" w14:textId="77777777">
        <w:trPr>
          <w:trHeight w:val="42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15C3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Employee signature: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CEE0" w14:textId="77777777" w:rsidR="00646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46871" w14:paraId="4CF14EDD" w14:textId="77777777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FC9E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Date: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1B54" w14:textId="77777777" w:rsidR="00646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46871" w14:paraId="53A53E21" w14:textId="77777777">
        <w:trPr>
          <w:trHeight w:val="4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5D1C" w14:textId="77777777" w:rsidR="0064687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Date of receipt by manager: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D96F" w14:textId="77777777" w:rsidR="00646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7388C214" w14:textId="26D06EE0" w:rsidR="00646871" w:rsidRDefault="00000000" w:rsidP="007B327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sz w:val="20"/>
        </w:rPr>
        <w:t xml:space="preserve"> </w:t>
      </w:r>
    </w:p>
    <w:sectPr w:rsidR="00646871">
      <w:footerReference w:type="even" r:id="rId8"/>
      <w:footerReference w:type="default" r:id="rId9"/>
      <w:footerReference w:type="first" r:id="rId10"/>
      <w:pgSz w:w="11910" w:h="16850"/>
      <w:pgMar w:top="1806" w:right="1121" w:bottom="1626" w:left="85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F541" w14:textId="77777777" w:rsidR="00347F9A" w:rsidRDefault="00347F9A">
      <w:pPr>
        <w:spacing w:after="0" w:line="240" w:lineRule="auto"/>
      </w:pPr>
      <w:r>
        <w:separator/>
      </w:r>
    </w:p>
  </w:endnote>
  <w:endnote w:type="continuationSeparator" w:id="0">
    <w:p w14:paraId="76D5A19C" w14:textId="77777777" w:rsidR="00347F9A" w:rsidRDefault="0034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811C" w14:textId="77777777" w:rsidR="00646871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22AA" w14:textId="77777777" w:rsidR="00646871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4772" w14:textId="77777777" w:rsidR="00646871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D00D" w14:textId="77777777" w:rsidR="00347F9A" w:rsidRDefault="00347F9A">
      <w:pPr>
        <w:spacing w:after="0" w:line="240" w:lineRule="auto"/>
      </w:pPr>
      <w:r>
        <w:separator/>
      </w:r>
    </w:p>
  </w:footnote>
  <w:footnote w:type="continuationSeparator" w:id="0">
    <w:p w14:paraId="6A44884D" w14:textId="77777777" w:rsidR="00347F9A" w:rsidRDefault="0034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CC"/>
    <w:multiLevelType w:val="hybridMultilevel"/>
    <w:tmpl w:val="083EA002"/>
    <w:lvl w:ilvl="0" w:tplc="19EE1F9C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56FA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6FA6C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2D1BA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EDB84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C4FD0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448C2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2A26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6F07E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42085"/>
    <w:multiLevelType w:val="hybridMultilevel"/>
    <w:tmpl w:val="969A3D86"/>
    <w:lvl w:ilvl="0" w:tplc="AD38F256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4142C">
      <w:start w:val="1"/>
      <w:numFmt w:val="lowerLetter"/>
      <w:lvlText w:val="%2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EF350">
      <w:start w:val="1"/>
      <w:numFmt w:val="lowerRoman"/>
      <w:lvlText w:val="%3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40824">
      <w:start w:val="1"/>
      <w:numFmt w:val="decimal"/>
      <w:lvlText w:val="%4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1C1BEE">
      <w:start w:val="1"/>
      <w:numFmt w:val="lowerLetter"/>
      <w:lvlText w:val="%5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8BA1C">
      <w:start w:val="1"/>
      <w:numFmt w:val="lowerRoman"/>
      <w:lvlText w:val="%6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44902">
      <w:start w:val="1"/>
      <w:numFmt w:val="decimal"/>
      <w:lvlText w:val="%7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0182C">
      <w:start w:val="1"/>
      <w:numFmt w:val="lowerLetter"/>
      <w:lvlText w:val="%8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EDF62">
      <w:start w:val="1"/>
      <w:numFmt w:val="lowerRoman"/>
      <w:lvlText w:val="%9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0836E3"/>
    <w:multiLevelType w:val="hybridMultilevel"/>
    <w:tmpl w:val="A3D8440E"/>
    <w:lvl w:ilvl="0" w:tplc="4A609E64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417C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4F82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EBAD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E341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AC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AA34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C0A20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420E4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3A34EA"/>
    <w:multiLevelType w:val="hybridMultilevel"/>
    <w:tmpl w:val="83F00186"/>
    <w:lvl w:ilvl="0" w:tplc="E68AECF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E1EAE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68CEC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8AD00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C2602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2D5AE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8C5A0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E6FCC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808CA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BC32F5"/>
    <w:multiLevelType w:val="hybridMultilevel"/>
    <w:tmpl w:val="17C670C0"/>
    <w:lvl w:ilvl="0" w:tplc="0B0295A2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E0374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69F9C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4EED6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8CEA4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E6708C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2E246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0ED90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B378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1640B"/>
    <w:multiLevelType w:val="hybridMultilevel"/>
    <w:tmpl w:val="918C322A"/>
    <w:lvl w:ilvl="0" w:tplc="F5485B32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E074C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A34E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6CFD8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25188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49F1C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6854A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22CCA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48A56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50E9F"/>
    <w:multiLevelType w:val="hybridMultilevel"/>
    <w:tmpl w:val="20FA916A"/>
    <w:lvl w:ilvl="0" w:tplc="04ACAB8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06EAE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0646E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A6DBA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964454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B46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D3E2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3ED8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7C48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4F0824"/>
    <w:multiLevelType w:val="hybridMultilevel"/>
    <w:tmpl w:val="F000F588"/>
    <w:lvl w:ilvl="0" w:tplc="186A0EFC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8EEF0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ABDA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B2FA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E2E82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CDD9A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E1ED6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89BB6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ABEFE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450034">
    <w:abstractNumId w:val="0"/>
  </w:num>
  <w:num w:numId="2" w16cid:durableId="1112702699">
    <w:abstractNumId w:val="5"/>
  </w:num>
  <w:num w:numId="3" w16cid:durableId="950666450">
    <w:abstractNumId w:val="7"/>
  </w:num>
  <w:num w:numId="4" w16cid:durableId="1047411758">
    <w:abstractNumId w:val="4"/>
  </w:num>
  <w:num w:numId="5" w16cid:durableId="295531504">
    <w:abstractNumId w:val="3"/>
  </w:num>
  <w:num w:numId="6" w16cid:durableId="1957247419">
    <w:abstractNumId w:val="6"/>
  </w:num>
  <w:num w:numId="7" w16cid:durableId="1441336772">
    <w:abstractNumId w:val="2"/>
  </w:num>
  <w:num w:numId="8" w16cid:durableId="66331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71"/>
    <w:rsid w:val="00347F9A"/>
    <w:rsid w:val="00646871"/>
    <w:rsid w:val="007B327B"/>
    <w:rsid w:val="00B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018F"/>
  <w15:docId w15:val="{2C149757-6F5E-4D3A-BE83-1F89AFAD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71" w:lineRule="auto"/>
      <w:ind w:left="29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 w:line="259" w:lineRule="auto"/>
      <w:ind w:left="29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9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7" w:line="259" w:lineRule="auto"/>
      <w:ind w:left="2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TOC1">
    <w:name w:val="toc 1"/>
    <w:hidden/>
    <w:pPr>
      <w:spacing w:after="245" w:line="271" w:lineRule="auto"/>
      <w:ind w:left="305" w:right="28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2026-05-12T12:39:00Z</dcterms:created>
  <dcterms:modified xsi:type="dcterms:W3CDTF">2026-05-12T12:39:00Z</dcterms:modified>
</cp:coreProperties>
</file>