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517B" w14:textId="77777777" w:rsidR="00361C44" w:rsidRDefault="00000000">
      <w:pPr>
        <w:pStyle w:val="Heading2"/>
        <w:spacing w:after="59"/>
        <w:ind w:left="2886" w:firstLine="715"/>
      </w:pPr>
      <w:bookmarkStart w:id="0" w:name="_Toc34335"/>
      <w:r>
        <w:t xml:space="preserve">APPENDIX B – Equality Analysis </w:t>
      </w:r>
      <w:bookmarkEnd w:id="0"/>
    </w:p>
    <w:p w14:paraId="2E4CBFB7" w14:textId="77777777" w:rsidR="00361C44" w:rsidRDefault="00000000">
      <w:pPr>
        <w:spacing w:after="59" w:line="267" w:lineRule="auto"/>
        <w:ind w:left="2886" w:right="0" w:firstLine="715"/>
        <w:jc w:val="left"/>
      </w:pPr>
      <w:r>
        <w:rPr>
          <w:b/>
        </w:rPr>
        <w:t xml:space="preserve">Managing Concerns with Performance Policy </w:t>
      </w:r>
    </w:p>
    <w:tbl>
      <w:tblPr>
        <w:tblStyle w:val="TableGrid"/>
        <w:tblW w:w="10324" w:type="dxa"/>
        <w:tblInd w:w="55" w:type="dxa"/>
        <w:tblCellMar>
          <w:top w:w="35" w:type="dxa"/>
          <w:left w:w="5" w:type="dxa"/>
          <w:bottom w:w="0" w:type="dxa"/>
          <w:right w:w="41" w:type="dxa"/>
        </w:tblCellMar>
        <w:tblLook w:val="04A0" w:firstRow="1" w:lastRow="0" w:firstColumn="1" w:lastColumn="0" w:noHBand="0" w:noVBand="1"/>
      </w:tblPr>
      <w:tblGrid>
        <w:gridCol w:w="10324"/>
      </w:tblGrid>
      <w:tr w:rsidR="00361C44" w14:paraId="00D4D39A" w14:textId="77777777">
        <w:trPr>
          <w:trHeight w:val="4981"/>
        </w:trPr>
        <w:tc>
          <w:tcPr>
            <w:tcW w:w="10324" w:type="dxa"/>
            <w:tcBorders>
              <w:top w:val="single" w:sz="4" w:space="0" w:color="000000"/>
              <w:left w:val="single" w:sz="4" w:space="0" w:color="000000"/>
              <w:bottom w:val="single" w:sz="4" w:space="0" w:color="000000"/>
              <w:right w:val="single" w:sz="4" w:space="0" w:color="000000"/>
            </w:tcBorders>
          </w:tcPr>
          <w:p w14:paraId="516395C3" w14:textId="77777777" w:rsidR="00361C44" w:rsidRDefault="00000000">
            <w:pPr>
              <w:spacing w:after="0" w:line="259" w:lineRule="auto"/>
              <w:ind w:left="105" w:right="0" w:firstLine="0"/>
              <w:jc w:val="left"/>
            </w:pPr>
            <w:r>
              <w:rPr>
                <w:b/>
              </w:rPr>
              <w:t xml:space="preserve">What are the intended outcomes? </w:t>
            </w:r>
          </w:p>
          <w:p w14:paraId="74754236" w14:textId="77777777" w:rsidR="00361C44" w:rsidRDefault="00000000">
            <w:pPr>
              <w:spacing w:after="0" w:line="239" w:lineRule="auto"/>
              <w:ind w:left="105" w:right="76" w:firstLine="0"/>
            </w:pPr>
            <w:r>
              <w:t xml:space="preserve">LCH has committed through its vision “to provide the best possible care in every community”. </w:t>
            </w:r>
            <w:proofErr w:type="gramStart"/>
            <w:r>
              <w:t>In order to</w:t>
            </w:r>
            <w:proofErr w:type="gramEnd"/>
            <w:r>
              <w:t xml:space="preserve"> achieve this vision, LCH will ensure that it recruits, retains and develops the best staff and engages and empowers them to achieve and maintain high standards of work. </w:t>
            </w:r>
          </w:p>
          <w:p w14:paraId="517A12CB" w14:textId="77777777" w:rsidR="00361C44" w:rsidRDefault="00000000">
            <w:pPr>
              <w:spacing w:after="0" w:line="243" w:lineRule="auto"/>
              <w:ind w:left="105" w:right="0" w:firstLine="0"/>
            </w:pPr>
            <w:r>
              <w:t xml:space="preserve">An effective performance management policy is essential to the on-going success of the organisation as is full engagement and participation with the appraisal process. </w:t>
            </w:r>
          </w:p>
          <w:p w14:paraId="532FD547" w14:textId="77777777" w:rsidR="00361C44" w:rsidRDefault="00000000">
            <w:pPr>
              <w:spacing w:after="0" w:line="259" w:lineRule="auto"/>
              <w:ind w:left="0" w:right="0" w:firstLine="0"/>
              <w:jc w:val="left"/>
            </w:pPr>
            <w:r>
              <w:rPr>
                <w:b/>
              </w:rPr>
              <w:t xml:space="preserve"> </w:t>
            </w:r>
          </w:p>
          <w:p w14:paraId="6D15F555" w14:textId="77777777" w:rsidR="00361C44" w:rsidRDefault="00000000">
            <w:pPr>
              <w:spacing w:after="0" w:line="259" w:lineRule="auto"/>
              <w:ind w:left="105" w:right="0" w:firstLine="0"/>
              <w:jc w:val="left"/>
            </w:pPr>
            <w:r>
              <w:rPr>
                <w:b/>
              </w:rPr>
              <w:t xml:space="preserve">Aims and Objectives </w:t>
            </w:r>
          </w:p>
          <w:p w14:paraId="7E71B756" w14:textId="77777777" w:rsidR="00361C44" w:rsidRDefault="00000000">
            <w:pPr>
              <w:spacing w:line="239" w:lineRule="auto"/>
              <w:ind w:left="105" w:right="0" w:firstLine="0"/>
            </w:pPr>
            <w:r>
              <w:t xml:space="preserve">LCH will aim to ensure all staff clearly understands the standards of performance expected of them and are fully supported to achieve and maintain these to a high standard. </w:t>
            </w:r>
          </w:p>
          <w:p w14:paraId="6B934903" w14:textId="77777777" w:rsidR="00361C44" w:rsidRDefault="00000000">
            <w:pPr>
              <w:spacing w:after="0" w:line="259" w:lineRule="auto"/>
              <w:ind w:left="0" w:right="0" w:firstLine="0"/>
              <w:jc w:val="left"/>
            </w:pPr>
            <w:r>
              <w:rPr>
                <w:b/>
              </w:rPr>
              <w:t xml:space="preserve"> </w:t>
            </w:r>
          </w:p>
          <w:p w14:paraId="0C64F227" w14:textId="77777777" w:rsidR="00361C44" w:rsidRDefault="00000000">
            <w:pPr>
              <w:spacing w:after="275" w:line="239" w:lineRule="auto"/>
              <w:ind w:left="105" w:right="0" w:firstLine="0"/>
            </w:pPr>
            <w:r>
              <w:t xml:space="preserve">The primary aim of the procedure is to provide a supportive course of action for employees whose performance falls below the expected standard. </w:t>
            </w:r>
          </w:p>
          <w:p w14:paraId="17AA719A" w14:textId="77777777" w:rsidR="00361C44" w:rsidRDefault="00000000">
            <w:pPr>
              <w:spacing w:after="0" w:line="259" w:lineRule="auto"/>
              <w:ind w:left="105" w:right="86" w:firstLine="0"/>
            </w:pPr>
            <w:r>
              <w:t xml:space="preserve">If it becomes apparent that an employee is not achieving the required level of performance this policy and procedure </w:t>
            </w:r>
            <w:proofErr w:type="gramStart"/>
            <w:r>
              <w:t>aims</w:t>
            </w:r>
            <w:proofErr w:type="gramEnd"/>
            <w:r>
              <w:t xml:space="preserve"> to enable managers to address the situation in a prompt, constructive and effective manner. </w:t>
            </w:r>
          </w:p>
        </w:tc>
      </w:tr>
      <w:tr w:rsidR="00361C44" w14:paraId="0BDE99F9" w14:textId="77777777">
        <w:trPr>
          <w:trHeight w:val="3596"/>
        </w:trPr>
        <w:tc>
          <w:tcPr>
            <w:tcW w:w="10324" w:type="dxa"/>
            <w:tcBorders>
              <w:top w:val="single" w:sz="4" w:space="0" w:color="000000"/>
              <w:left w:val="single" w:sz="4" w:space="0" w:color="000000"/>
              <w:bottom w:val="single" w:sz="4" w:space="0" w:color="000000"/>
              <w:right w:val="single" w:sz="4" w:space="0" w:color="000000"/>
            </w:tcBorders>
          </w:tcPr>
          <w:p w14:paraId="7FC66653" w14:textId="77777777" w:rsidR="00361C44" w:rsidRDefault="00000000">
            <w:pPr>
              <w:spacing w:after="0" w:line="259" w:lineRule="auto"/>
              <w:ind w:left="105" w:right="0" w:firstLine="0"/>
              <w:jc w:val="left"/>
            </w:pPr>
            <w:r>
              <w:rPr>
                <w:b/>
              </w:rPr>
              <w:t xml:space="preserve">Who will be affected? </w:t>
            </w:r>
          </w:p>
          <w:p w14:paraId="795084DF" w14:textId="77777777" w:rsidR="00361C44" w:rsidRDefault="00000000">
            <w:pPr>
              <w:spacing w:after="0" w:line="240" w:lineRule="auto"/>
              <w:ind w:left="105" w:right="6" w:firstLine="0"/>
              <w:jc w:val="left"/>
            </w:pPr>
            <w:r>
              <w:t xml:space="preserve">The </w:t>
            </w:r>
            <w:r>
              <w:rPr>
                <w:i/>
              </w:rPr>
              <w:t xml:space="preserve">managing concern with performance policy is </w:t>
            </w:r>
            <w:r>
              <w:t xml:space="preserve">an internal policy which impacts on employees and managers but not directly on service users or the public at large. </w:t>
            </w:r>
            <w:proofErr w:type="gramStart"/>
            <w:r>
              <w:t>Nevertheless</w:t>
            </w:r>
            <w:proofErr w:type="gramEnd"/>
            <w:r>
              <w:t xml:space="preserve"> it is a vital part of the way LCH operates to make sure that the workforce is performing at its best and is therefore serving the community to maximum effect. This EA seeks to ensure that LCH can be confident that the </w:t>
            </w:r>
            <w:r>
              <w:rPr>
                <w:i/>
              </w:rPr>
              <w:t xml:space="preserve">managing concern with performance policy is </w:t>
            </w:r>
            <w:r>
              <w:t xml:space="preserve">fit for purpose and does not deliberately or unwittingly discriminate against any section of the workforce. It examines the policy from the viewpoint of the 9 main protected characteristic groups – Age, Disability, Gender, Gender Reassignment, Pregnancy and maternity, Marriage and Civil Partnership, Race, Religion and Belief, and Sexual Orientation – </w:t>
            </w:r>
            <w:proofErr w:type="gramStart"/>
            <w:r>
              <w:t>and also</w:t>
            </w:r>
            <w:proofErr w:type="gramEnd"/>
            <w:r>
              <w:t xml:space="preserve"> gives thought to whether any other groups might be disadvantaged. </w:t>
            </w:r>
          </w:p>
          <w:p w14:paraId="21065B05" w14:textId="77777777" w:rsidR="00361C44" w:rsidRDefault="00000000">
            <w:pPr>
              <w:spacing w:after="0" w:line="259" w:lineRule="auto"/>
              <w:ind w:left="105" w:right="0" w:firstLine="0"/>
              <w:jc w:val="left"/>
            </w:pPr>
            <w:r>
              <w:t xml:space="preserve">If any issues are uncovered, an action plan will set out our intention to rectify the situation. </w:t>
            </w:r>
          </w:p>
        </w:tc>
      </w:tr>
      <w:tr w:rsidR="00361C44" w14:paraId="3999EE36" w14:textId="77777777">
        <w:trPr>
          <w:trHeight w:val="285"/>
        </w:trPr>
        <w:tc>
          <w:tcPr>
            <w:tcW w:w="10324" w:type="dxa"/>
            <w:tcBorders>
              <w:top w:val="single" w:sz="4" w:space="0" w:color="000000"/>
              <w:left w:val="single" w:sz="4" w:space="0" w:color="000000"/>
              <w:bottom w:val="single" w:sz="4" w:space="0" w:color="000000"/>
              <w:right w:val="single" w:sz="4" w:space="0" w:color="000000"/>
            </w:tcBorders>
          </w:tcPr>
          <w:p w14:paraId="75C5A00C" w14:textId="77777777" w:rsidR="00361C44" w:rsidRDefault="00000000">
            <w:pPr>
              <w:spacing w:after="0" w:line="259" w:lineRule="auto"/>
              <w:ind w:left="105" w:right="0" w:firstLine="0"/>
              <w:jc w:val="left"/>
            </w:pPr>
            <w:r>
              <w:rPr>
                <w:b/>
              </w:rPr>
              <w:t xml:space="preserve">Evidence </w:t>
            </w:r>
          </w:p>
        </w:tc>
      </w:tr>
      <w:tr w:rsidR="00361C44" w14:paraId="2884A8C4" w14:textId="77777777">
        <w:trPr>
          <w:trHeight w:val="1391"/>
        </w:trPr>
        <w:tc>
          <w:tcPr>
            <w:tcW w:w="10324" w:type="dxa"/>
            <w:tcBorders>
              <w:top w:val="single" w:sz="4" w:space="0" w:color="000000"/>
              <w:left w:val="single" w:sz="4" w:space="0" w:color="000000"/>
              <w:bottom w:val="single" w:sz="4" w:space="0" w:color="000000"/>
              <w:right w:val="single" w:sz="4" w:space="0" w:color="000000"/>
            </w:tcBorders>
          </w:tcPr>
          <w:p w14:paraId="61545F36" w14:textId="77777777" w:rsidR="00361C44" w:rsidRDefault="00000000">
            <w:pPr>
              <w:spacing w:after="0" w:line="259" w:lineRule="auto"/>
              <w:ind w:left="105" w:right="0" w:firstLine="0"/>
              <w:jc w:val="left"/>
            </w:pPr>
            <w:r>
              <w:rPr>
                <w:b/>
              </w:rPr>
              <w:t xml:space="preserve">Disability </w:t>
            </w:r>
          </w:p>
          <w:p w14:paraId="7CD59366" w14:textId="77777777" w:rsidR="00361C44" w:rsidRDefault="00000000">
            <w:pPr>
              <w:spacing w:after="0" w:line="259" w:lineRule="auto"/>
              <w:ind w:left="105" w:right="0" w:firstLine="0"/>
              <w:jc w:val="left"/>
            </w:pPr>
            <w:r>
              <w:t xml:space="preserve">Individuals with mental health conditions may find themselves unable to cope with ‘day to day’ activities including work activities. This can place them at an increased risk of performance management action if managers are unable to empathise with staff or are unaware of mental health problems </w:t>
            </w:r>
            <w:proofErr w:type="gramStart"/>
            <w:r>
              <w:t>as a result of</w:t>
            </w:r>
            <w:proofErr w:type="gramEnd"/>
            <w:r>
              <w:t xml:space="preserve"> poor disclosure mechanisms. </w:t>
            </w:r>
            <w:r>
              <w:rPr>
                <w:i/>
              </w:rPr>
              <w:t xml:space="preserve">(EHRC </w:t>
            </w:r>
            <w:proofErr w:type="gramStart"/>
            <w:r>
              <w:rPr>
                <w:i/>
              </w:rPr>
              <w:t>employers</w:t>
            </w:r>
            <w:proofErr w:type="gramEnd"/>
            <w:r>
              <w:rPr>
                <w:i/>
              </w:rPr>
              <w:t xml:space="preserve"> guidance) </w:t>
            </w:r>
          </w:p>
        </w:tc>
      </w:tr>
      <w:tr w:rsidR="00361C44" w14:paraId="5D4AF1E2" w14:textId="77777777">
        <w:trPr>
          <w:trHeight w:val="1665"/>
        </w:trPr>
        <w:tc>
          <w:tcPr>
            <w:tcW w:w="10324" w:type="dxa"/>
            <w:tcBorders>
              <w:top w:val="single" w:sz="4" w:space="0" w:color="000000"/>
              <w:left w:val="single" w:sz="4" w:space="0" w:color="000000"/>
              <w:bottom w:val="single" w:sz="4" w:space="0" w:color="000000"/>
              <w:right w:val="single" w:sz="4" w:space="0" w:color="000000"/>
            </w:tcBorders>
          </w:tcPr>
          <w:p w14:paraId="044B32A9" w14:textId="77777777" w:rsidR="00361C44" w:rsidRDefault="00000000">
            <w:pPr>
              <w:spacing w:after="0" w:line="259" w:lineRule="auto"/>
              <w:ind w:left="105" w:right="0" w:firstLine="0"/>
              <w:jc w:val="left"/>
            </w:pPr>
            <w:r>
              <w:rPr>
                <w:b/>
              </w:rPr>
              <w:t xml:space="preserve">Sex </w:t>
            </w:r>
          </w:p>
          <w:p w14:paraId="53E32D7F" w14:textId="77777777" w:rsidR="00361C44" w:rsidRDefault="00000000">
            <w:pPr>
              <w:spacing w:after="0" w:line="239" w:lineRule="auto"/>
              <w:ind w:left="105" w:right="0" w:firstLine="0"/>
            </w:pPr>
            <w:r>
              <w:t xml:space="preserve">Higher levels of part-time/reduced hours working may place female workers at an increased risk, as their workload may be substantially higher than that of which it should be. </w:t>
            </w:r>
          </w:p>
          <w:p w14:paraId="4D555281" w14:textId="77777777" w:rsidR="00361C44" w:rsidRDefault="00000000">
            <w:pPr>
              <w:spacing w:after="0" w:line="259" w:lineRule="auto"/>
              <w:ind w:left="105" w:right="0" w:firstLine="0"/>
            </w:pPr>
            <w:r>
              <w:t xml:space="preserve">Analysis of equality data of staff subject to managing concerns with performance policy is not collected at present and so analysis is not yet possible. </w:t>
            </w:r>
          </w:p>
        </w:tc>
      </w:tr>
      <w:tr w:rsidR="00361C44" w14:paraId="7B2C34A9" w14:textId="77777777">
        <w:trPr>
          <w:trHeight w:val="840"/>
        </w:trPr>
        <w:tc>
          <w:tcPr>
            <w:tcW w:w="10324" w:type="dxa"/>
            <w:tcBorders>
              <w:top w:val="single" w:sz="4" w:space="0" w:color="000000"/>
              <w:left w:val="single" w:sz="4" w:space="0" w:color="000000"/>
              <w:bottom w:val="single" w:sz="4" w:space="0" w:color="000000"/>
              <w:right w:val="single" w:sz="4" w:space="0" w:color="000000"/>
            </w:tcBorders>
          </w:tcPr>
          <w:p w14:paraId="1F2E4ED5" w14:textId="77777777" w:rsidR="00361C44" w:rsidRDefault="00000000">
            <w:pPr>
              <w:spacing w:after="0" w:line="259" w:lineRule="auto"/>
              <w:ind w:left="105" w:right="0" w:firstLine="0"/>
              <w:jc w:val="left"/>
            </w:pPr>
            <w:r>
              <w:rPr>
                <w:b/>
              </w:rPr>
              <w:t xml:space="preserve">Race </w:t>
            </w:r>
          </w:p>
          <w:p w14:paraId="4E931227" w14:textId="77777777" w:rsidR="00361C44" w:rsidRDefault="00000000">
            <w:pPr>
              <w:spacing w:after="0" w:line="259" w:lineRule="auto"/>
              <w:ind w:left="105" w:right="0" w:firstLine="0"/>
            </w:pPr>
            <w:r>
              <w:t xml:space="preserve">Analysis of equality data of staff subject to managing concerns with performance policy is not collected at present and so analysis is not yet possible. </w:t>
            </w:r>
          </w:p>
        </w:tc>
      </w:tr>
      <w:tr w:rsidR="00361C44" w14:paraId="4C669B29" w14:textId="77777777">
        <w:trPr>
          <w:trHeight w:val="285"/>
        </w:trPr>
        <w:tc>
          <w:tcPr>
            <w:tcW w:w="10324" w:type="dxa"/>
            <w:tcBorders>
              <w:top w:val="single" w:sz="4" w:space="0" w:color="000000"/>
              <w:left w:val="single" w:sz="4" w:space="0" w:color="000000"/>
              <w:bottom w:val="single" w:sz="4" w:space="0" w:color="000000"/>
              <w:right w:val="single" w:sz="4" w:space="0" w:color="000000"/>
            </w:tcBorders>
          </w:tcPr>
          <w:p w14:paraId="69ED3712" w14:textId="77777777" w:rsidR="00361C44" w:rsidRDefault="00000000">
            <w:pPr>
              <w:spacing w:after="0" w:line="259" w:lineRule="auto"/>
              <w:ind w:left="0" w:right="0" w:firstLine="0"/>
              <w:jc w:val="left"/>
            </w:pPr>
            <w:r>
              <w:rPr>
                <w:rFonts w:ascii="Times New Roman" w:eastAsia="Times New Roman" w:hAnsi="Times New Roman" w:cs="Times New Roman"/>
                <w:sz w:val="20"/>
              </w:rPr>
              <w:lastRenderedPageBreak/>
              <w:t xml:space="preserve"> </w:t>
            </w:r>
          </w:p>
        </w:tc>
      </w:tr>
      <w:tr w:rsidR="00361C44" w14:paraId="75975E06" w14:textId="77777777">
        <w:trPr>
          <w:trHeight w:val="1115"/>
        </w:trPr>
        <w:tc>
          <w:tcPr>
            <w:tcW w:w="10324" w:type="dxa"/>
            <w:tcBorders>
              <w:top w:val="single" w:sz="4" w:space="0" w:color="000000"/>
              <w:left w:val="single" w:sz="4" w:space="0" w:color="000000"/>
              <w:bottom w:val="single" w:sz="4" w:space="0" w:color="000000"/>
              <w:right w:val="single" w:sz="4" w:space="0" w:color="000000"/>
            </w:tcBorders>
          </w:tcPr>
          <w:p w14:paraId="175B43C5" w14:textId="77777777" w:rsidR="00361C44" w:rsidRDefault="00000000">
            <w:pPr>
              <w:spacing w:after="0" w:line="259" w:lineRule="auto"/>
              <w:ind w:left="105" w:right="0" w:firstLine="0"/>
              <w:jc w:val="left"/>
            </w:pPr>
            <w:r>
              <w:rPr>
                <w:b/>
              </w:rPr>
              <w:t xml:space="preserve">Age </w:t>
            </w:r>
          </w:p>
          <w:p w14:paraId="2343A82C" w14:textId="77777777" w:rsidR="00361C44" w:rsidRDefault="00000000">
            <w:pPr>
              <w:spacing w:after="0" w:line="259" w:lineRule="auto"/>
              <w:ind w:left="105" w:right="0" w:firstLine="0"/>
            </w:pPr>
            <w:r>
              <w:t xml:space="preserve">Analysis of equality data of staff subject to managing concerns with performance policy is not collected at present and so analysis is not yet possible. </w:t>
            </w:r>
          </w:p>
        </w:tc>
      </w:tr>
      <w:tr w:rsidR="00361C44" w14:paraId="5210F4F4" w14:textId="77777777">
        <w:trPr>
          <w:trHeight w:val="1941"/>
        </w:trPr>
        <w:tc>
          <w:tcPr>
            <w:tcW w:w="10324" w:type="dxa"/>
            <w:tcBorders>
              <w:top w:val="single" w:sz="4" w:space="0" w:color="000000"/>
              <w:left w:val="single" w:sz="4" w:space="0" w:color="000000"/>
              <w:bottom w:val="single" w:sz="4" w:space="0" w:color="000000"/>
              <w:right w:val="single" w:sz="4" w:space="0" w:color="000000"/>
            </w:tcBorders>
          </w:tcPr>
          <w:p w14:paraId="4AFEF54E" w14:textId="77777777" w:rsidR="00361C44" w:rsidRDefault="00000000">
            <w:pPr>
              <w:spacing w:after="0" w:line="259" w:lineRule="auto"/>
              <w:ind w:left="105" w:right="0" w:firstLine="0"/>
              <w:jc w:val="left"/>
            </w:pPr>
            <w:r>
              <w:rPr>
                <w:b/>
              </w:rPr>
              <w:t xml:space="preserve">Gender reassignment (including transgender) </w:t>
            </w:r>
          </w:p>
          <w:p w14:paraId="3215852F" w14:textId="77777777" w:rsidR="00361C44" w:rsidRDefault="00000000">
            <w:pPr>
              <w:spacing w:after="0" w:line="239" w:lineRule="auto"/>
              <w:ind w:left="105" w:right="67" w:firstLine="0"/>
            </w:pPr>
            <w:r>
              <w:t xml:space="preserve">Currently the organisation does not analyse equality data of those staff involved managing concerns with performance policy, however data held shows that no staff define themselves as Transgender on ESR. </w:t>
            </w:r>
          </w:p>
          <w:p w14:paraId="7EA3195D" w14:textId="77777777" w:rsidR="00361C44" w:rsidRDefault="00000000">
            <w:pPr>
              <w:spacing w:after="0" w:line="259" w:lineRule="auto"/>
              <w:ind w:left="105" w:right="0" w:firstLine="0"/>
            </w:pPr>
            <w:r>
              <w:t xml:space="preserve">Analysis of equality data of staff subject to managing concerns with performance policy is not collected at present and so analysis is not yet possible. </w:t>
            </w:r>
          </w:p>
        </w:tc>
      </w:tr>
      <w:tr w:rsidR="00361C44" w14:paraId="4833737C" w14:textId="77777777">
        <w:trPr>
          <w:trHeight w:val="1665"/>
        </w:trPr>
        <w:tc>
          <w:tcPr>
            <w:tcW w:w="10324" w:type="dxa"/>
            <w:tcBorders>
              <w:top w:val="single" w:sz="4" w:space="0" w:color="000000"/>
              <w:left w:val="single" w:sz="4" w:space="0" w:color="000000"/>
              <w:bottom w:val="single" w:sz="4" w:space="0" w:color="000000"/>
              <w:right w:val="single" w:sz="4" w:space="0" w:color="000000"/>
            </w:tcBorders>
          </w:tcPr>
          <w:p w14:paraId="6F920B55" w14:textId="77777777" w:rsidR="00361C44" w:rsidRDefault="00000000">
            <w:pPr>
              <w:spacing w:after="0" w:line="259" w:lineRule="auto"/>
              <w:ind w:left="105" w:right="0" w:firstLine="0"/>
              <w:jc w:val="left"/>
            </w:pPr>
            <w:r>
              <w:rPr>
                <w:b/>
              </w:rPr>
              <w:t xml:space="preserve">Sexual orientation </w:t>
            </w:r>
          </w:p>
          <w:p w14:paraId="50C99BC9" w14:textId="77777777" w:rsidR="00361C44" w:rsidRDefault="00000000">
            <w:pPr>
              <w:spacing w:after="0" w:line="239" w:lineRule="auto"/>
              <w:ind w:left="105" w:right="0" w:firstLine="0"/>
            </w:pPr>
            <w:r>
              <w:t xml:space="preserve">The organisation collects sexuality data at the point of application and employees can update equality data using the self-service function on ESR. </w:t>
            </w:r>
          </w:p>
          <w:p w14:paraId="616A5B0A" w14:textId="77777777" w:rsidR="00361C44" w:rsidRDefault="00000000">
            <w:pPr>
              <w:spacing w:after="0" w:line="259" w:lineRule="auto"/>
              <w:ind w:left="105" w:right="0" w:firstLine="0"/>
            </w:pPr>
            <w:r>
              <w:t xml:space="preserve">Analysis of equality data of staff subject to managing concerns with performance policy is not collected at present and so analysis is not yet possible. </w:t>
            </w:r>
          </w:p>
        </w:tc>
      </w:tr>
      <w:tr w:rsidR="00361C44" w14:paraId="1559DBC6" w14:textId="77777777">
        <w:trPr>
          <w:trHeight w:val="1115"/>
        </w:trPr>
        <w:tc>
          <w:tcPr>
            <w:tcW w:w="10324" w:type="dxa"/>
            <w:tcBorders>
              <w:top w:val="single" w:sz="4" w:space="0" w:color="000000"/>
              <w:left w:val="single" w:sz="4" w:space="0" w:color="000000"/>
              <w:bottom w:val="single" w:sz="4" w:space="0" w:color="000000"/>
              <w:right w:val="single" w:sz="4" w:space="0" w:color="000000"/>
            </w:tcBorders>
          </w:tcPr>
          <w:p w14:paraId="78E2489D" w14:textId="77777777" w:rsidR="00361C44" w:rsidRDefault="00000000">
            <w:pPr>
              <w:spacing w:after="0" w:line="259" w:lineRule="auto"/>
              <w:ind w:left="105" w:right="0" w:firstLine="0"/>
              <w:jc w:val="left"/>
            </w:pPr>
            <w:r>
              <w:rPr>
                <w:b/>
              </w:rPr>
              <w:t xml:space="preserve">Religion or belief </w:t>
            </w:r>
          </w:p>
          <w:p w14:paraId="1C08B6CF" w14:textId="77777777" w:rsidR="00361C44" w:rsidRDefault="00000000">
            <w:pPr>
              <w:spacing w:after="0" w:line="259" w:lineRule="auto"/>
              <w:ind w:left="105" w:right="0" w:firstLine="0"/>
            </w:pPr>
            <w:r>
              <w:t xml:space="preserve">Analysis of equality data of staff subject to managing concerns with performance policy is not collected at present and so analysis is not yet possible. </w:t>
            </w:r>
          </w:p>
        </w:tc>
      </w:tr>
      <w:tr w:rsidR="00361C44" w14:paraId="5D81E2C4" w14:textId="77777777">
        <w:trPr>
          <w:trHeight w:val="1110"/>
        </w:trPr>
        <w:tc>
          <w:tcPr>
            <w:tcW w:w="10324" w:type="dxa"/>
            <w:tcBorders>
              <w:top w:val="single" w:sz="4" w:space="0" w:color="000000"/>
              <w:left w:val="single" w:sz="4" w:space="0" w:color="000000"/>
              <w:bottom w:val="single" w:sz="4" w:space="0" w:color="000000"/>
              <w:right w:val="single" w:sz="4" w:space="0" w:color="000000"/>
            </w:tcBorders>
          </w:tcPr>
          <w:p w14:paraId="3350F3BA" w14:textId="77777777" w:rsidR="00361C44" w:rsidRDefault="00000000">
            <w:pPr>
              <w:spacing w:after="0" w:line="259" w:lineRule="auto"/>
              <w:ind w:left="105" w:right="0" w:firstLine="0"/>
              <w:jc w:val="left"/>
            </w:pPr>
            <w:r>
              <w:rPr>
                <w:b/>
              </w:rPr>
              <w:t xml:space="preserve">Carers </w:t>
            </w:r>
          </w:p>
          <w:p w14:paraId="43A2F445" w14:textId="77777777" w:rsidR="00361C44" w:rsidRDefault="00000000">
            <w:pPr>
              <w:spacing w:after="0" w:line="259" w:lineRule="auto"/>
              <w:ind w:left="105" w:right="0" w:firstLine="0"/>
            </w:pPr>
            <w:r>
              <w:t xml:space="preserve">Analysis of equality data of staff subject to managing concerns with performance policy is not collected at present and so analysis is not yet possible. </w:t>
            </w:r>
          </w:p>
        </w:tc>
      </w:tr>
    </w:tbl>
    <w:tbl>
      <w:tblPr>
        <w:tblStyle w:val="TableGrid"/>
        <w:tblpPr w:vertAnchor="page" w:horzAnchor="page" w:tblpX="621" w:tblpY="8867"/>
        <w:tblOverlap w:val="never"/>
        <w:tblW w:w="10324" w:type="dxa"/>
        <w:tblInd w:w="0" w:type="dxa"/>
        <w:tblCellMar>
          <w:top w:w="55" w:type="dxa"/>
          <w:left w:w="110" w:type="dxa"/>
          <w:bottom w:w="0" w:type="dxa"/>
          <w:right w:w="110" w:type="dxa"/>
        </w:tblCellMar>
        <w:tblLook w:val="04A0" w:firstRow="1" w:lastRow="0" w:firstColumn="1" w:lastColumn="0" w:noHBand="0" w:noVBand="1"/>
      </w:tblPr>
      <w:tblGrid>
        <w:gridCol w:w="10324"/>
      </w:tblGrid>
      <w:tr w:rsidR="00361C44" w14:paraId="2CEE84CE" w14:textId="77777777">
        <w:trPr>
          <w:trHeight w:val="541"/>
        </w:trPr>
        <w:tc>
          <w:tcPr>
            <w:tcW w:w="10324" w:type="dxa"/>
            <w:tcBorders>
              <w:top w:val="single" w:sz="4" w:space="0" w:color="000000"/>
              <w:left w:val="single" w:sz="4" w:space="0" w:color="000000"/>
              <w:bottom w:val="single" w:sz="4" w:space="0" w:color="000000"/>
              <w:right w:val="single" w:sz="4" w:space="0" w:color="000000"/>
            </w:tcBorders>
          </w:tcPr>
          <w:p w14:paraId="5AE56207" w14:textId="77777777" w:rsidR="00361C44" w:rsidRDefault="00000000">
            <w:pPr>
              <w:spacing w:after="0" w:line="259" w:lineRule="auto"/>
              <w:ind w:left="0" w:right="0" w:firstLine="0"/>
              <w:jc w:val="left"/>
            </w:pPr>
            <w:r>
              <w:rPr>
                <w:b/>
              </w:rPr>
              <w:t xml:space="preserve">Engagement and involvement </w:t>
            </w:r>
          </w:p>
        </w:tc>
      </w:tr>
      <w:tr w:rsidR="00361C44" w14:paraId="367EC97A" w14:textId="77777777">
        <w:trPr>
          <w:trHeight w:val="1110"/>
        </w:trPr>
        <w:tc>
          <w:tcPr>
            <w:tcW w:w="10324" w:type="dxa"/>
            <w:tcBorders>
              <w:top w:val="single" w:sz="4" w:space="0" w:color="000000"/>
              <w:left w:val="single" w:sz="4" w:space="0" w:color="000000"/>
              <w:bottom w:val="single" w:sz="4" w:space="0" w:color="000000"/>
              <w:right w:val="single" w:sz="4" w:space="0" w:color="000000"/>
            </w:tcBorders>
          </w:tcPr>
          <w:p w14:paraId="556999A4" w14:textId="77777777" w:rsidR="00361C44" w:rsidRDefault="00000000">
            <w:pPr>
              <w:spacing w:after="0" w:line="259" w:lineRule="auto"/>
              <w:ind w:left="0" w:right="0" w:firstLine="0"/>
              <w:jc w:val="left"/>
            </w:pPr>
            <w:r>
              <w:rPr>
                <w:i/>
              </w:rPr>
              <w:t xml:space="preserve">(How have you engaged stakeholders in gathering evidence or testing the evidence available?) </w:t>
            </w:r>
          </w:p>
          <w:p w14:paraId="4F381B5E" w14:textId="77777777" w:rsidR="00361C44" w:rsidRDefault="00000000">
            <w:pPr>
              <w:spacing w:after="0" w:line="259" w:lineRule="auto"/>
              <w:ind w:left="0" w:right="0" w:firstLine="0"/>
              <w:jc w:val="left"/>
            </w:pPr>
            <w:r>
              <w:t xml:space="preserve">Ongoing stakeholder engagement will happen as the policy navigates through the organisational governance structure </w:t>
            </w:r>
          </w:p>
        </w:tc>
      </w:tr>
      <w:tr w:rsidR="00361C44" w14:paraId="709E3335" w14:textId="77777777">
        <w:trPr>
          <w:trHeight w:val="1115"/>
        </w:trPr>
        <w:tc>
          <w:tcPr>
            <w:tcW w:w="10324" w:type="dxa"/>
            <w:tcBorders>
              <w:top w:val="single" w:sz="4" w:space="0" w:color="000000"/>
              <w:left w:val="single" w:sz="4" w:space="0" w:color="000000"/>
              <w:bottom w:val="single" w:sz="4" w:space="0" w:color="000000"/>
              <w:right w:val="single" w:sz="4" w:space="0" w:color="000000"/>
            </w:tcBorders>
          </w:tcPr>
          <w:p w14:paraId="39042F7A" w14:textId="77777777" w:rsidR="00361C44" w:rsidRDefault="00000000">
            <w:pPr>
              <w:spacing w:after="0" w:line="259" w:lineRule="auto"/>
              <w:ind w:left="0" w:right="361" w:firstLine="0"/>
            </w:pPr>
            <w:r>
              <w:rPr>
                <w:i/>
              </w:rPr>
              <w:t xml:space="preserve">(How have you engaged stakeholders in testing the policy, programme proposals or service) </w:t>
            </w:r>
            <w:r>
              <w:t xml:space="preserve">The draft policy will be shared with stakeholders for consultation at all stages prior to being presented through the formal approval process. </w:t>
            </w:r>
          </w:p>
        </w:tc>
      </w:tr>
      <w:tr w:rsidR="00361C44" w14:paraId="09D72822" w14:textId="77777777">
        <w:trPr>
          <w:trHeight w:val="1391"/>
        </w:trPr>
        <w:tc>
          <w:tcPr>
            <w:tcW w:w="10324" w:type="dxa"/>
            <w:tcBorders>
              <w:top w:val="single" w:sz="4" w:space="0" w:color="000000"/>
              <w:left w:val="single" w:sz="4" w:space="0" w:color="000000"/>
              <w:bottom w:val="single" w:sz="4" w:space="0" w:color="000000"/>
              <w:right w:val="single" w:sz="4" w:space="0" w:color="000000"/>
            </w:tcBorders>
          </w:tcPr>
          <w:p w14:paraId="001F7AEF" w14:textId="77777777" w:rsidR="00361C44" w:rsidRDefault="00000000">
            <w:pPr>
              <w:spacing w:after="0" w:line="239" w:lineRule="auto"/>
              <w:ind w:left="0" w:right="0" w:firstLine="0"/>
            </w:pPr>
            <w:r>
              <w:rPr>
                <w:i/>
              </w:rPr>
              <w:t xml:space="preserve">(For each engagement activity, please state who was involved, how and when they were engaged, and the key outputs) </w:t>
            </w:r>
          </w:p>
          <w:p w14:paraId="52BBCDE8" w14:textId="77777777" w:rsidR="00361C44" w:rsidRDefault="00000000">
            <w:pPr>
              <w:spacing w:after="0" w:line="259" w:lineRule="auto"/>
              <w:ind w:left="0" w:right="0" w:firstLine="0"/>
            </w:pPr>
            <w:r>
              <w:t xml:space="preserve">This will be documented as part of the policy development and available to view at the rear of the policy on Elsie </w:t>
            </w:r>
          </w:p>
        </w:tc>
      </w:tr>
    </w:tbl>
    <w:p w14:paraId="1E2B62F7" w14:textId="77777777" w:rsidR="00361C44" w:rsidRDefault="00000000">
      <w:pPr>
        <w:spacing w:after="97" w:line="259" w:lineRule="auto"/>
        <w:ind w:left="0" w:right="0" w:firstLine="0"/>
      </w:pPr>
      <w:r>
        <w:rPr>
          <w:b/>
          <w:sz w:val="20"/>
        </w:rPr>
        <w:t xml:space="preserve"> </w:t>
      </w:r>
    </w:p>
    <w:p w14:paraId="01806391" w14:textId="77777777" w:rsidR="00361C44" w:rsidRDefault="00000000">
      <w:pPr>
        <w:spacing w:after="0" w:line="259" w:lineRule="auto"/>
        <w:ind w:left="0" w:right="0" w:firstLine="0"/>
      </w:pPr>
      <w:r>
        <w:rPr>
          <w:b/>
          <w:sz w:val="20"/>
        </w:rPr>
        <w:t xml:space="preserve"> </w:t>
      </w:r>
    </w:p>
    <w:p w14:paraId="3578703E" w14:textId="77777777" w:rsidR="00361C44" w:rsidRDefault="00361C44">
      <w:pPr>
        <w:spacing w:after="0" w:line="259" w:lineRule="auto"/>
        <w:ind w:left="-566" w:right="8567" w:firstLine="0"/>
        <w:jc w:val="left"/>
      </w:pPr>
    </w:p>
    <w:tbl>
      <w:tblPr>
        <w:tblStyle w:val="TableGrid"/>
        <w:tblW w:w="10324" w:type="dxa"/>
        <w:tblInd w:w="55" w:type="dxa"/>
        <w:tblCellMar>
          <w:top w:w="55" w:type="dxa"/>
          <w:left w:w="5" w:type="dxa"/>
          <w:bottom w:w="0" w:type="dxa"/>
          <w:right w:w="40" w:type="dxa"/>
        </w:tblCellMar>
        <w:tblLook w:val="04A0" w:firstRow="1" w:lastRow="0" w:firstColumn="1" w:lastColumn="0" w:noHBand="0" w:noVBand="1"/>
      </w:tblPr>
      <w:tblGrid>
        <w:gridCol w:w="10324"/>
      </w:tblGrid>
      <w:tr w:rsidR="00361C44" w14:paraId="4257502F" w14:textId="77777777">
        <w:trPr>
          <w:trHeight w:val="4911"/>
        </w:trPr>
        <w:tc>
          <w:tcPr>
            <w:tcW w:w="10324" w:type="dxa"/>
            <w:tcBorders>
              <w:top w:val="single" w:sz="4" w:space="0" w:color="000000"/>
              <w:left w:val="single" w:sz="4" w:space="0" w:color="000000"/>
              <w:bottom w:val="single" w:sz="4" w:space="0" w:color="000000"/>
              <w:right w:val="single" w:sz="4" w:space="0" w:color="000000"/>
            </w:tcBorders>
          </w:tcPr>
          <w:p w14:paraId="6876C7B3" w14:textId="77777777" w:rsidR="00361C44" w:rsidRDefault="00000000">
            <w:pPr>
              <w:spacing w:after="0" w:line="259" w:lineRule="auto"/>
              <w:ind w:left="105" w:right="0" w:firstLine="0"/>
              <w:jc w:val="left"/>
            </w:pPr>
            <w:r>
              <w:rPr>
                <w:b/>
              </w:rPr>
              <w:lastRenderedPageBreak/>
              <w:t xml:space="preserve">Summary of Analysis </w:t>
            </w:r>
          </w:p>
          <w:p w14:paraId="2FD806C7" w14:textId="77777777" w:rsidR="00361C44" w:rsidRDefault="00000000">
            <w:pPr>
              <w:spacing w:after="0" w:line="259" w:lineRule="auto"/>
              <w:ind w:left="0" w:right="0" w:firstLine="0"/>
              <w:jc w:val="left"/>
            </w:pPr>
            <w:r>
              <w:rPr>
                <w:b/>
              </w:rPr>
              <w:t xml:space="preserve"> </w:t>
            </w:r>
          </w:p>
          <w:p w14:paraId="0D88D796" w14:textId="77777777" w:rsidR="00361C44" w:rsidRDefault="00000000">
            <w:pPr>
              <w:spacing w:after="0" w:line="241" w:lineRule="auto"/>
              <w:ind w:left="105" w:right="74" w:firstLine="0"/>
            </w:pPr>
            <w:r>
              <w:t xml:space="preserve">Poor communication of this policy could impact negatively on some staff groups. For </w:t>
            </w:r>
            <w:proofErr w:type="gramStart"/>
            <w:r>
              <w:t>example</w:t>
            </w:r>
            <w:proofErr w:type="gramEnd"/>
            <w:r>
              <w:t xml:space="preserve"> if the policy is not available in alternative formats, staff with disabilities could be impacted in a negative way. </w:t>
            </w:r>
          </w:p>
          <w:p w14:paraId="55C3606B" w14:textId="77777777" w:rsidR="00361C44" w:rsidRDefault="00000000">
            <w:pPr>
              <w:spacing w:after="0" w:line="259" w:lineRule="auto"/>
              <w:ind w:left="0" w:right="0" w:firstLine="0"/>
              <w:jc w:val="left"/>
            </w:pPr>
            <w:r>
              <w:rPr>
                <w:b/>
              </w:rPr>
              <w:t xml:space="preserve"> </w:t>
            </w:r>
          </w:p>
          <w:p w14:paraId="4356DB49" w14:textId="77777777" w:rsidR="00361C44" w:rsidRDefault="00000000">
            <w:pPr>
              <w:spacing w:after="274" w:line="240" w:lineRule="auto"/>
              <w:ind w:left="105" w:right="77" w:firstLine="0"/>
            </w:pPr>
            <w:r>
              <w:t xml:space="preserve">Line managers need to understand their responsibilities when implementing this policy. If managers fail to develop this understanding and/or attend training to help them to do this, it could result in this policy being implemented unfairly. There is the potential for the policy to have an adverse impact if the training/awareness that supports it does not adequately cover how equality aspects can be relevant to the effective, fair and successful implementation of the </w:t>
            </w:r>
          </w:p>
          <w:p w14:paraId="7627675E" w14:textId="77777777" w:rsidR="00361C44" w:rsidRDefault="00000000">
            <w:pPr>
              <w:spacing w:after="0" w:line="243" w:lineRule="auto"/>
              <w:ind w:left="105" w:right="0" w:firstLine="0"/>
            </w:pPr>
            <w:r>
              <w:t xml:space="preserve">The analysis of data held on ESR of </w:t>
            </w:r>
            <w:r>
              <w:rPr>
                <w:i/>
              </w:rPr>
              <w:t xml:space="preserve">staff being performance managed </w:t>
            </w:r>
            <w:r>
              <w:t xml:space="preserve">by protected characteristic does not happen at present. </w:t>
            </w:r>
          </w:p>
          <w:p w14:paraId="60B577E8" w14:textId="77777777" w:rsidR="00361C44" w:rsidRDefault="00000000">
            <w:pPr>
              <w:spacing w:after="0" w:line="259" w:lineRule="auto"/>
              <w:ind w:left="0" w:right="0" w:firstLine="0"/>
              <w:jc w:val="left"/>
            </w:pPr>
            <w:r>
              <w:rPr>
                <w:b/>
              </w:rPr>
              <w:t xml:space="preserve"> </w:t>
            </w:r>
          </w:p>
          <w:p w14:paraId="2CC5FBBD" w14:textId="77777777" w:rsidR="00361C44" w:rsidRDefault="00000000">
            <w:pPr>
              <w:spacing w:after="0" w:line="259" w:lineRule="auto"/>
              <w:ind w:left="105" w:right="0" w:firstLine="0"/>
            </w:pPr>
            <w:r>
              <w:t xml:space="preserve">Analysis by protected characteristics is necessary to ensure that organisation meets the requirements of the three General Duties under the Equality Act 2010. </w:t>
            </w:r>
          </w:p>
        </w:tc>
      </w:tr>
    </w:tbl>
    <w:p w14:paraId="2AAC02B4" w14:textId="77777777" w:rsidR="00361C44" w:rsidRDefault="00361C44">
      <w:pPr>
        <w:sectPr w:rsidR="00361C44">
          <w:footerReference w:type="even" r:id="rId7"/>
          <w:footerReference w:type="default" r:id="rId8"/>
          <w:footerReference w:type="first" r:id="rId9"/>
          <w:footnotePr>
            <w:numRestart w:val="eachPage"/>
          </w:footnotePr>
          <w:pgSz w:w="11910" w:h="16840"/>
          <w:pgMar w:top="1046" w:right="3343" w:bottom="1501" w:left="566" w:header="720" w:footer="980" w:gutter="0"/>
          <w:cols w:space="720"/>
        </w:sectPr>
      </w:pPr>
    </w:p>
    <w:p w14:paraId="23F06EE3" w14:textId="77777777" w:rsidR="00361C44" w:rsidRDefault="00000000">
      <w:pPr>
        <w:spacing w:after="0" w:line="259" w:lineRule="auto"/>
        <w:ind w:left="0" w:right="5330" w:firstLine="0"/>
        <w:jc w:val="right"/>
      </w:pPr>
      <w:r>
        <w:rPr>
          <w:b/>
        </w:rPr>
        <w:lastRenderedPageBreak/>
        <w:t xml:space="preserve">Equality Analysis action plan </w:t>
      </w:r>
    </w:p>
    <w:p w14:paraId="59DAB67B" w14:textId="77777777" w:rsidR="00361C44" w:rsidRDefault="00000000">
      <w:pPr>
        <w:spacing w:after="0" w:line="259" w:lineRule="auto"/>
        <w:ind w:left="0" w:right="0" w:firstLine="0"/>
        <w:jc w:val="left"/>
      </w:pPr>
      <w:r>
        <w:rPr>
          <w:b/>
          <w:sz w:val="7"/>
        </w:rPr>
        <w:t xml:space="preserve"> </w:t>
      </w:r>
    </w:p>
    <w:tbl>
      <w:tblPr>
        <w:tblStyle w:val="TableGrid"/>
        <w:tblW w:w="15478" w:type="dxa"/>
        <w:tblInd w:w="126" w:type="dxa"/>
        <w:tblCellMar>
          <w:top w:w="55" w:type="dxa"/>
          <w:left w:w="4" w:type="dxa"/>
          <w:bottom w:w="0" w:type="dxa"/>
          <w:right w:w="149" w:type="dxa"/>
        </w:tblCellMar>
        <w:tblLook w:val="04A0" w:firstRow="1" w:lastRow="0" w:firstColumn="1" w:lastColumn="0" w:noHBand="0" w:noVBand="1"/>
      </w:tblPr>
      <w:tblGrid>
        <w:gridCol w:w="8503"/>
        <w:gridCol w:w="2645"/>
        <w:gridCol w:w="4330"/>
      </w:tblGrid>
      <w:tr w:rsidR="00361C44" w14:paraId="3A182FAB" w14:textId="77777777">
        <w:trPr>
          <w:trHeight w:val="698"/>
        </w:trPr>
        <w:tc>
          <w:tcPr>
            <w:tcW w:w="8502" w:type="dxa"/>
            <w:tcBorders>
              <w:top w:val="single" w:sz="4" w:space="0" w:color="000000"/>
              <w:left w:val="single" w:sz="4" w:space="0" w:color="000000"/>
              <w:bottom w:val="single" w:sz="4" w:space="0" w:color="000000"/>
              <w:right w:val="single" w:sz="4" w:space="0" w:color="000000"/>
            </w:tcBorders>
            <w:shd w:val="clear" w:color="auto" w:fill="B3B3B3"/>
          </w:tcPr>
          <w:p w14:paraId="3697797B" w14:textId="77777777" w:rsidR="00361C44" w:rsidRDefault="00000000">
            <w:pPr>
              <w:spacing w:after="0" w:line="259" w:lineRule="auto"/>
              <w:ind w:left="152" w:right="0" w:firstLine="0"/>
              <w:jc w:val="center"/>
            </w:pPr>
            <w:r>
              <w:rPr>
                <w:b/>
              </w:rPr>
              <w:t xml:space="preserve">Actions </w:t>
            </w:r>
          </w:p>
        </w:tc>
        <w:tc>
          <w:tcPr>
            <w:tcW w:w="2645" w:type="dxa"/>
            <w:tcBorders>
              <w:top w:val="single" w:sz="4" w:space="0" w:color="000000"/>
              <w:left w:val="single" w:sz="4" w:space="0" w:color="000000"/>
              <w:bottom w:val="single" w:sz="4" w:space="0" w:color="000000"/>
              <w:right w:val="single" w:sz="4" w:space="0" w:color="000000"/>
            </w:tcBorders>
            <w:shd w:val="clear" w:color="auto" w:fill="B3B3B3"/>
          </w:tcPr>
          <w:p w14:paraId="6C1C33A1" w14:textId="77777777" w:rsidR="00361C44" w:rsidRDefault="00000000">
            <w:pPr>
              <w:spacing w:after="0" w:line="259" w:lineRule="auto"/>
              <w:ind w:left="143" w:right="0" w:firstLine="0"/>
              <w:jc w:val="center"/>
            </w:pPr>
            <w:r>
              <w:rPr>
                <w:b/>
              </w:rPr>
              <w:t xml:space="preserve">Target date </w:t>
            </w:r>
          </w:p>
        </w:tc>
        <w:tc>
          <w:tcPr>
            <w:tcW w:w="4330" w:type="dxa"/>
            <w:tcBorders>
              <w:top w:val="single" w:sz="4" w:space="0" w:color="000000"/>
              <w:left w:val="single" w:sz="4" w:space="0" w:color="000000"/>
              <w:bottom w:val="single" w:sz="4" w:space="0" w:color="000000"/>
              <w:right w:val="single" w:sz="4" w:space="0" w:color="000000"/>
            </w:tcBorders>
            <w:shd w:val="clear" w:color="auto" w:fill="B3B3B3"/>
          </w:tcPr>
          <w:p w14:paraId="10F5A06D" w14:textId="77777777" w:rsidR="00361C44" w:rsidRDefault="00000000">
            <w:pPr>
              <w:spacing w:after="0" w:line="259" w:lineRule="auto"/>
              <w:ind w:left="0" w:right="0" w:firstLine="0"/>
              <w:jc w:val="center"/>
            </w:pPr>
            <w:r>
              <w:rPr>
                <w:b/>
              </w:rPr>
              <w:t xml:space="preserve">Person responsible and their Directorate </w:t>
            </w:r>
          </w:p>
        </w:tc>
      </w:tr>
      <w:tr w:rsidR="00361C44" w14:paraId="747BF130" w14:textId="77777777">
        <w:trPr>
          <w:trHeight w:val="2802"/>
        </w:trPr>
        <w:tc>
          <w:tcPr>
            <w:tcW w:w="8502" w:type="dxa"/>
            <w:tcBorders>
              <w:top w:val="single" w:sz="4" w:space="0" w:color="000000"/>
              <w:left w:val="single" w:sz="4" w:space="0" w:color="000000"/>
              <w:bottom w:val="single" w:sz="4" w:space="0" w:color="000000"/>
              <w:right w:val="single" w:sz="4" w:space="0" w:color="000000"/>
            </w:tcBorders>
          </w:tcPr>
          <w:p w14:paraId="4CE98431" w14:textId="77777777" w:rsidR="00361C44" w:rsidRDefault="00000000">
            <w:pPr>
              <w:spacing w:line="239" w:lineRule="auto"/>
              <w:ind w:left="106" w:right="0" w:firstLine="0"/>
              <w:jc w:val="left"/>
            </w:pPr>
            <w:r>
              <w:t xml:space="preserve">A communication plan will be implemented ensuring employees and managers feel confident and have the knowledge to use the </w:t>
            </w:r>
            <w:proofErr w:type="gramStart"/>
            <w:r>
              <w:t>policy, and</w:t>
            </w:r>
            <w:proofErr w:type="gramEnd"/>
            <w:r>
              <w:t xml:space="preserve"> are clear about what the policy mean for them personally. Staff involved in the communication process will be required to give regard to our obligations under the Equality Act 2010, including; </w:t>
            </w:r>
          </w:p>
          <w:p w14:paraId="35813A2C" w14:textId="77777777" w:rsidR="00361C44" w:rsidRDefault="00000000">
            <w:pPr>
              <w:spacing w:after="0" w:line="259" w:lineRule="auto"/>
              <w:ind w:left="0" w:right="0" w:firstLine="0"/>
              <w:jc w:val="left"/>
            </w:pPr>
            <w:r>
              <w:rPr>
                <w:b/>
              </w:rPr>
              <w:t xml:space="preserve"> </w:t>
            </w:r>
          </w:p>
          <w:p w14:paraId="39A172D1" w14:textId="77777777" w:rsidR="00361C44" w:rsidRDefault="00000000">
            <w:pPr>
              <w:numPr>
                <w:ilvl w:val="0"/>
                <w:numId w:val="13"/>
              </w:numPr>
              <w:spacing w:after="0" w:line="259" w:lineRule="auto"/>
              <w:ind w:right="0" w:hanging="360"/>
              <w:jc w:val="left"/>
            </w:pPr>
            <w:r>
              <w:t xml:space="preserve">alternative formats of policies will be sent to those that need it </w:t>
            </w:r>
          </w:p>
          <w:p w14:paraId="01BE84AF" w14:textId="77777777" w:rsidR="00361C44" w:rsidRDefault="00000000">
            <w:pPr>
              <w:numPr>
                <w:ilvl w:val="0"/>
                <w:numId w:val="13"/>
              </w:numPr>
              <w:spacing w:after="0" w:line="259" w:lineRule="auto"/>
              <w:ind w:right="0" w:hanging="360"/>
              <w:jc w:val="left"/>
            </w:pPr>
            <w:r>
              <w:t xml:space="preserve">email – appropriate font size and accessible documents will be used to ensure no one is excluded </w:t>
            </w:r>
          </w:p>
        </w:tc>
        <w:tc>
          <w:tcPr>
            <w:tcW w:w="2645" w:type="dxa"/>
            <w:tcBorders>
              <w:top w:val="single" w:sz="4" w:space="0" w:color="000000"/>
              <w:left w:val="single" w:sz="4" w:space="0" w:color="000000"/>
              <w:bottom w:val="single" w:sz="4" w:space="0" w:color="000000"/>
              <w:right w:val="single" w:sz="4" w:space="0" w:color="000000"/>
            </w:tcBorders>
          </w:tcPr>
          <w:p w14:paraId="04F4EF5D" w14:textId="77777777" w:rsidR="00361C44" w:rsidRDefault="00000000">
            <w:pPr>
              <w:spacing w:after="0" w:line="259" w:lineRule="auto"/>
              <w:ind w:left="111" w:right="0" w:firstLine="0"/>
              <w:jc w:val="left"/>
            </w:pPr>
            <w:r>
              <w:t xml:space="preserve">Immediate </w:t>
            </w:r>
          </w:p>
        </w:tc>
        <w:tc>
          <w:tcPr>
            <w:tcW w:w="4330" w:type="dxa"/>
            <w:tcBorders>
              <w:top w:val="single" w:sz="4" w:space="0" w:color="000000"/>
              <w:left w:val="single" w:sz="4" w:space="0" w:color="000000"/>
              <w:bottom w:val="single" w:sz="4" w:space="0" w:color="000000"/>
              <w:right w:val="single" w:sz="4" w:space="0" w:color="000000"/>
            </w:tcBorders>
          </w:tcPr>
          <w:p w14:paraId="438F88B2" w14:textId="77777777" w:rsidR="00361C44" w:rsidRDefault="00000000">
            <w:pPr>
              <w:spacing w:after="0" w:line="259" w:lineRule="auto"/>
              <w:ind w:left="111" w:right="0" w:firstLine="0"/>
              <w:jc w:val="left"/>
            </w:pPr>
            <w:r>
              <w:t xml:space="preserve">Helen Dixon, Workforce </w:t>
            </w:r>
          </w:p>
        </w:tc>
      </w:tr>
      <w:tr w:rsidR="00361C44" w14:paraId="38325115" w14:textId="77777777">
        <w:trPr>
          <w:trHeight w:val="840"/>
        </w:trPr>
        <w:tc>
          <w:tcPr>
            <w:tcW w:w="8502" w:type="dxa"/>
            <w:tcBorders>
              <w:top w:val="single" w:sz="4" w:space="0" w:color="000000"/>
              <w:left w:val="single" w:sz="4" w:space="0" w:color="000000"/>
              <w:bottom w:val="single" w:sz="4" w:space="0" w:color="000000"/>
              <w:right w:val="single" w:sz="4" w:space="0" w:color="000000"/>
            </w:tcBorders>
          </w:tcPr>
          <w:p w14:paraId="51E0BBDE" w14:textId="77777777" w:rsidR="00361C44" w:rsidRDefault="00000000">
            <w:pPr>
              <w:spacing w:after="0" w:line="259" w:lineRule="auto"/>
              <w:ind w:left="106" w:right="118" w:firstLine="0"/>
            </w:pPr>
            <w:r>
              <w:t xml:space="preserve">Commence with the collection and analysis “performance management” data by age, gender, sexuality, ethnicity, disability, marriage or civil partnership, religion and belief. </w:t>
            </w:r>
          </w:p>
        </w:tc>
        <w:tc>
          <w:tcPr>
            <w:tcW w:w="2645" w:type="dxa"/>
            <w:tcBorders>
              <w:top w:val="single" w:sz="4" w:space="0" w:color="000000"/>
              <w:left w:val="single" w:sz="4" w:space="0" w:color="000000"/>
              <w:bottom w:val="single" w:sz="4" w:space="0" w:color="000000"/>
              <w:right w:val="single" w:sz="4" w:space="0" w:color="000000"/>
            </w:tcBorders>
          </w:tcPr>
          <w:p w14:paraId="35941030" w14:textId="77777777" w:rsidR="00361C44" w:rsidRDefault="00000000">
            <w:pPr>
              <w:spacing w:after="0" w:line="259" w:lineRule="auto"/>
              <w:ind w:left="111" w:right="0" w:firstLine="0"/>
              <w:jc w:val="left"/>
            </w:pPr>
            <w:r>
              <w:t xml:space="preserve">Immediate </w:t>
            </w:r>
          </w:p>
        </w:tc>
        <w:tc>
          <w:tcPr>
            <w:tcW w:w="4330" w:type="dxa"/>
            <w:tcBorders>
              <w:top w:val="single" w:sz="4" w:space="0" w:color="000000"/>
              <w:left w:val="single" w:sz="4" w:space="0" w:color="000000"/>
              <w:bottom w:val="single" w:sz="4" w:space="0" w:color="000000"/>
              <w:right w:val="single" w:sz="4" w:space="0" w:color="000000"/>
            </w:tcBorders>
          </w:tcPr>
          <w:p w14:paraId="0C3DC16E" w14:textId="77777777" w:rsidR="00361C44" w:rsidRDefault="00000000">
            <w:pPr>
              <w:spacing w:after="0" w:line="259" w:lineRule="auto"/>
              <w:ind w:left="111" w:right="0" w:firstLine="0"/>
              <w:jc w:val="left"/>
            </w:pPr>
            <w:r>
              <w:t xml:space="preserve">Sue Ellis, Director of Workforce </w:t>
            </w:r>
          </w:p>
        </w:tc>
      </w:tr>
      <w:tr w:rsidR="00361C44" w14:paraId="1F1CCEE3" w14:textId="77777777">
        <w:trPr>
          <w:trHeight w:val="836"/>
        </w:trPr>
        <w:tc>
          <w:tcPr>
            <w:tcW w:w="8502" w:type="dxa"/>
            <w:tcBorders>
              <w:top w:val="single" w:sz="4" w:space="0" w:color="000000"/>
              <w:left w:val="single" w:sz="4" w:space="0" w:color="000000"/>
              <w:bottom w:val="single" w:sz="4" w:space="0" w:color="000000"/>
              <w:right w:val="single" w:sz="4" w:space="0" w:color="000000"/>
            </w:tcBorders>
          </w:tcPr>
          <w:p w14:paraId="7D5D6E56" w14:textId="77777777" w:rsidR="00361C44" w:rsidRDefault="00000000">
            <w:pPr>
              <w:spacing w:after="0" w:line="259" w:lineRule="auto"/>
              <w:ind w:left="106" w:right="0" w:firstLine="0"/>
            </w:pPr>
            <w:r>
              <w:t xml:space="preserve">Include the equality data analysis of those staff in performance procedures in Workforce reports to SMT </w:t>
            </w:r>
          </w:p>
        </w:tc>
        <w:tc>
          <w:tcPr>
            <w:tcW w:w="2645" w:type="dxa"/>
            <w:tcBorders>
              <w:top w:val="single" w:sz="4" w:space="0" w:color="000000"/>
              <w:left w:val="single" w:sz="4" w:space="0" w:color="000000"/>
              <w:bottom w:val="single" w:sz="4" w:space="0" w:color="000000"/>
              <w:right w:val="single" w:sz="4" w:space="0" w:color="000000"/>
            </w:tcBorders>
          </w:tcPr>
          <w:p w14:paraId="045EE609" w14:textId="77777777" w:rsidR="00361C44" w:rsidRDefault="00000000">
            <w:pPr>
              <w:spacing w:after="0" w:line="259" w:lineRule="auto"/>
              <w:ind w:left="111" w:right="0" w:firstLine="0"/>
            </w:pPr>
            <w:r>
              <w:t xml:space="preserve">By the end of quarter 2 2014/15 </w:t>
            </w:r>
          </w:p>
        </w:tc>
        <w:tc>
          <w:tcPr>
            <w:tcW w:w="4330" w:type="dxa"/>
            <w:tcBorders>
              <w:top w:val="single" w:sz="4" w:space="0" w:color="000000"/>
              <w:left w:val="single" w:sz="4" w:space="0" w:color="000000"/>
              <w:bottom w:val="single" w:sz="4" w:space="0" w:color="000000"/>
              <w:right w:val="single" w:sz="4" w:space="0" w:color="000000"/>
            </w:tcBorders>
          </w:tcPr>
          <w:p w14:paraId="47ABA66F" w14:textId="77777777" w:rsidR="00361C44" w:rsidRDefault="00000000">
            <w:pPr>
              <w:spacing w:after="0" w:line="259" w:lineRule="auto"/>
              <w:ind w:left="111" w:right="0" w:firstLine="0"/>
              <w:jc w:val="left"/>
            </w:pPr>
            <w:r>
              <w:t xml:space="preserve">Sue Ellis, Director of Workforce </w:t>
            </w:r>
          </w:p>
        </w:tc>
      </w:tr>
      <w:tr w:rsidR="00361C44" w14:paraId="0801413D" w14:textId="77777777">
        <w:trPr>
          <w:trHeight w:val="841"/>
        </w:trPr>
        <w:tc>
          <w:tcPr>
            <w:tcW w:w="8502" w:type="dxa"/>
            <w:tcBorders>
              <w:top w:val="single" w:sz="4" w:space="0" w:color="000000"/>
              <w:left w:val="single" w:sz="4" w:space="0" w:color="000000"/>
              <w:bottom w:val="single" w:sz="4" w:space="0" w:color="000000"/>
              <w:right w:val="single" w:sz="4" w:space="0" w:color="000000"/>
            </w:tcBorders>
          </w:tcPr>
          <w:p w14:paraId="2F3996C9" w14:textId="77777777" w:rsidR="00361C44" w:rsidRDefault="00000000">
            <w:pPr>
              <w:spacing w:after="0" w:line="259" w:lineRule="auto"/>
              <w:ind w:left="106" w:right="0" w:firstLine="0"/>
            </w:pPr>
            <w:r>
              <w:t xml:space="preserve">Include the equality data analysis of those staff in performance procedures in Workforce reports to the Finance &amp; Performance Committee. </w:t>
            </w:r>
          </w:p>
        </w:tc>
        <w:tc>
          <w:tcPr>
            <w:tcW w:w="2645" w:type="dxa"/>
            <w:tcBorders>
              <w:top w:val="single" w:sz="4" w:space="0" w:color="000000"/>
              <w:left w:val="single" w:sz="4" w:space="0" w:color="000000"/>
              <w:bottom w:val="single" w:sz="4" w:space="0" w:color="000000"/>
              <w:right w:val="single" w:sz="4" w:space="0" w:color="000000"/>
            </w:tcBorders>
          </w:tcPr>
          <w:p w14:paraId="4F5A58F6" w14:textId="77777777" w:rsidR="00361C44" w:rsidRDefault="00000000">
            <w:pPr>
              <w:spacing w:after="0" w:line="259" w:lineRule="auto"/>
              <w:ind w:left="111" w:right="0" w:firstLine="0"/>
            </w:pPr>
            <w:r>
              <w:t xml:space="preserve">By the end of quarter 2 2014/15 </w:t>
            </w:r>
          </w:p>
        </w:tc>
        <w:tc>
          <w:tcPr>
            <w:tcW w:w="4330" w:type="dxa"/>
            <w:tcBorders>
              <w:top w:val="single" w:sz="4" w:space="0" w:color="000000"/>
              <w:left w:val="single" w:sz="4" w:space="0" w:color="000000"/>
              <w:bottom w:val="single" w:sz="4" w:space="0" w:color="000000"/>
              <w:right w:val="single" w:sz="4" w:space="0" w:color="000000"/>
            </w:tcBorders>
          </w:tcPr>
          <w:p w14:paraId="5813BB32" w14:textId="77777777" w:rsidR="00361C44" w:rsidRDefault="00000000">
            <w:pPr>
              <w:spacing w:after="0" w:line="259" w:lineRule="auto"/>
              <w:ind w:left="111" w:right="0" w:firstLine="0"/>
              <w:jc w:val="left"/>
            </w:pPr>
            <w:r>
              <w:t xml:space="preserve">Sue Ellis, Director of Workforce </w:t>
            </w:r>
          </w:p>
        </w:tc>
      </w:tr>
      <w:tr w:rsidR="00361C44" w14:paraId="739B4D22" w14:textId="77777777">
        <w:trPr>
          <w:trHeight w:val="835"/>
        </w:trPr>
        <w:tc>
          <w:tcPr>
            <w:tcW w:w="8502" w:type="dxa"/>
            <w:tcBorders>
              <w:top w:val="single" w:sz="4" w:space="0" w:color="000000"/>
              <w:left w:val="single" w:sz="4" w:space="0" w:color="000000"/>
              <w:bottom w:val="single" w:sz="4" w:space="0" w:color="000000"/>
              <w:right w:val="single" w:sz="4" w:space="0" w:color="000000"/>
            </w:tcBorders>
          </w:tcPr>
          <w:p w14:paraId="33306CFF" w14:textId="77777777" w:rsidR="00361C44" w:rsidRDefault="00000000">
            <w:pPr>
              <w:spacing w:after="0" w:line="259" w:lineRule="auto"/>
              <w:ind w:left="106" w:right="282" w:firstLine="0"/>
            </w:pPr>
            <w:r>
              <w:t xml:space="preserve">Include the equality data analysis of those staff on performance procedures reported in Workforce reports as part of the Public Sector Equality Duty information published as a requirement of the Equality Act 2010. </w:t>
            </w:r>
          </w:p>
        </w:tc>
        <w:tc>
          <w:tcPr>
            <w:tcW w:w="2645" w:type="dxa"/>
            <w:tcBorders>
              <w:top w:val="single" w:sz="4" w:space="0" w:color="000000"/>
              <w:left w:val="single" w:sz="4" w:space="0" w:color="000000"/>
              <w:bottom w:val="single" w:sz="4" w:space="0" w:color="000000"/>
              <w:right w:val="single" w:sz="4" w:space="0" w:color="000000"/>
            </w:tcBorders>
          </w:tcPr>
          <w:p w14:paraId="63D23013" w14:textId="77777777" w:rsidR="00361C44" w:rsidRDefault="00000000">
            <w:pPr>
              <w:spacing w:after="0" w:line="259" w:lineRule="auto"/>
              <w:ind w:left="111" w:right="0" w:firstLine="0"/>
              <w:jc w:val="left"/>
            </w:pPr>
            <w:r>
              <w:t xml:space="preserve">By the end of March 2015 </w:t>
            </w:r>
          </w:p>
        </w:tc>
        <w:tc>
          <w:tcPr>
            <w:tcW w:w="4330" w:type="dxa"/>
            <w:tcBorders>
              <w:top w:val="single" w:sz="4" w:space="0" w:color="000000"/>
              <w:left w:val="single" w:sz="4" w:space="0" w:color="000000"/>
              <w:bottom w:val="single" w:sz="4" w:space="0" w:color="000000"/>
              <w:right w:val="single" w:sz="4" w:space="0" w:color="000000"/>
            </w:tcBorders>
          </w:tcPr>
          <w:p w14:paraId="118B4703" w14:textId="77777777" w:rsidR="00361C44" w:rsidRDefault="00000000">
            <w:pPr>
              <w:spacing w:after="0" w:line="259" w:lineRule="auto"/>
              <w:ind w:left="111" w:right="0" w:firstLine="0"/>
              <w:jc w:val="left"/>
            </w:pPr>
            <w:r>
              <w:t xml:space="preserve">Richard Worlock, Equality &amp; Diversity </w:t>
            </w:r>
          </w:p>
          <w:p w14:paraId="272FE61A" w14:textId="77777777" w:rsidR="00361C44" w:rsidRDefault="00000000">
            <w:pPr>
              <w:spacing w:after="0" w:line="259" w:lineRule="auto"/>
              <w:ind w:left="111" w:right="0" w:firstLine="0"/>
              <w:jc w:val="left"/>
            </w:pPr>
            <w:r>
              <w:t xml:space="preserve">Manager </w:t>
            </w:r>
          </w:p>
        </w:tc>
      </w:tr>
    </w:tbl>
    <w:p w14:paraId="052925A0" w14:textId="22FBE939" w:rsidR="00361C44" w:rsidRDefault="00000000" w:rsidP="005916E3">
      <w:pPr>
        <w:tabs>
          <w:tab w:val="center" w:pos="2041"/>
        </w:tabs>
        <w:spacing w:after="1302" w:line="259" w:lineRule="auto"/>
        <w:ind w:left="0" w:right="0" w:firstLine="0"/>
        <w:jc w:val="left"/>
        <w:sectPr w:rsidR="00361C44">
          <w:footerReference w:type="even" r:id="rId10"/>
          <w:footerReference w:type="default" r:id="rId11"/>
          <w:footerReference w:type="first" r:id="rId12"/>
          <w:footnotePr>
            <w:numRestart w:val="eachPage"/>
          </w:footnotePr>
          <w:pgSz w:w="16840" w:h="11910" w:orient="landscape"/>
          <w:pgMar w:top="1440" w:right="1440" w:bottom="1440" w:left="565" w:header="720" w:footer="720" w:gutter="0"/>
          <w:cols w:space="720"/>
        </w:sectPr>
      </w:pPr>
      <w:r>
        <w:rPr>
          <w:noProof/>
        </w:rPr>
        <w:drawing>
          <wp:anchor distT="0" distB="0" distL="114300" distR="114300" simplePos="0" relativeHeight="251658240" behindDoc="0" locked="0" layoutInCell="1" allowOverlap="0" wp14:anchorId="6F196746" wp14:editId="3C9BE87C">
            <wp:simplePos x="0" y="0"/>
            <wp:positionH relativeFrom="column">
              <wp:posOffset>4944110</wp:posOffset>
            </wp:positionH>
            <wp:positionV relativeFrom="paragraph">
              <wp:posOffset>103124</wp:posOffset>
            </wp:positionV>
            <wp:extent cx="493268" cy="494665"/>
            <wp:effectExtent l="0" t="0" r="0" b="0"/>
            <wp:wrapSquare wrapText="bothSides"/>
            <wp:docPr id="4513" name="Picture 4513"/>
            <wp:cNvGraphicFramePr/>
            <a:graphic xmlns:a="http://schemas.openxmlformats.org/drawingml/2006/main">
              <a:graphicData uri="http://schemas.openxmlformats.org/drawingml/2006/picture">
                <pic:pic xmlns:pic="http://schemas.openxmlformats.org/drawingml/2006/picture">
                  <pic:nvPicPr>
                    <pic:cNvPr id="4513" name="Picture 4513"/>
                    <pic:cNvPicPr/>
                  </pic:nvPicPr>
                  <pic:blipFill>
                    <a:blip r:embed="rId13"/>
                    <a:stretch>
                      <a:fillRect/>
                    </a:stretch>
                  </pic:blipFill>
                  <pic:spPr>
                    <a:xfrm>
                      <a:off x="0" y="0"/>
                      <a:ext cx="493268" cy="494665"/>
                    </a:xfrm>
                    <a:prstGeom prst="rect">
                      <a:avLst/>
                    </a:prstGeom>
                  </pic:spPr>
                </pic:pic>
              </a:graphicData>
            </a:graphic>
          </wp:anchor>
        </w:drawing>
      </w:r>
      <w:r>
        <w:rPr>
          <w:b/>
          <w:sz w:val="12"/>
        </w:rPr>
        <w:t xml:space="preserve"> </w:t>
      </w:r>
      <w:r>
        <w:rPr>
          <w:b/>
          <w:sz w:val="12"/>
        </w:rPr>
        <w:tab/>
      </w:r>
      <w:r>
        <w:rPr>
          <w:noProof/>
        </w:rPr>
        <w:drawing>
          <wp:inline distT="0" distB="0" distL="0" distR="0" wp14:anchorId="4432A0DB" wp14:editId="6551DA28">
            <wp:extent cx="1481201" cy="607695"/>
            <wp:effectExtent l="0" t="0" r="0" b="0"/>
            <wp:docPr id="4511" name="Picture 4511"/>
            <wp:cNvGraphicFramePr/>
            <a:graphic xmlns:a="http://schemas.openxmlformats.org/drawingml/2006/main">
              <a:graphicData uri="http://schemas.openxmlformats.org/drawingml/2006/picture">
                <pic:pic xmlns:pic="http://schemas.openxmlformats.org/drawingml/2006/picture">
                  <pic:nvPicPr>
                    <pic:cNvPr id="4511" name="Picture 4511"/>
                    <pic:cNvPicPr/>
                  </pic:nvPicPr>
                  <pic:blipFill>
                    <a:blip r:embed="rId14"/>
                    <a:stretch>
                      <a:fillRect/>
                    </a:stretch>
                  </pic:blipFill>
                  <pic:spPr>
                    <a:xfrm>
                      <a:off x="0" y="0"/>
                      <a:ext cx="1481201" cy="607695"/>
                    </a:xfrm>
                    <a:prstGeom prst="rect">
                      <a:avLst/>
                    </a:prstGeom>
                  </pic:spPr>
                </pic:pic>
              </a:graphicData>
            </a:graphic>
          </wp:inline>
        </w:drawing>
      </w:r>
    </w:p>
    <w:p w14:paraId="08805208" w14:textId="24770B7B" w:rsidR="00361C44" w:rsidRDefault="00361C44">
      <w:pPr>
        <w:tabs>
          <w:tab w:val="center" w:pos="4253"/>
        </w:tabs>
        <w:ind w:left="0" w:right="0" w:firstLine="0"/>
        <w:jc w:val="left"/>
      </w:pPr>
    </w:p>
    <w:sectPr w:rsidR="00361C44">
      <w:footerReference w:type="even" r:id="rId15"/>
      <w:footerReference w:type="default" r:id="rId16"/>
      <w:footerReference w:type="first" r:id="rId17"/>
      <w:footnotePr>
        <w:numRestart w:val="eachPage"/>
      </w:footnotePr>
      <w:pgSz w:w="11910" w:h="16840"/>
      <w:pgMar w:top="1440" w:right="2252" w:bottom="1440" w:left="991" w:header="720"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7AC6" w14:textId="77777777" w:rsidR="00D676C3" w:rsidRDefault="00D676C3">
      <w:pPr>
        <w:spacing w:after="0" w:line="240" w:lineRule="auto"/>
      </w:pPr>
      <w:r>
        <w:separator/>
      </w:r>
    </w:p>
  </w:endnote>
  <w:endnote w:type="continuationSeparator" w:id="0">
    <w:p w14:paraId="06C9E218" w14:textId="77777777" w:rsidR="00D676C3" w:rsidRDefault="00D67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819F" w14:textId="77777777" w:rsidR="00361C44" w:rsidRDefault="00000000">
    <w:pPr>
      <w:tabs>
        <w:tab w:val="center" w:pos="5464"/>
      </w:tabs>
      <w:spacing w:after="0" w:line="259" w:lineRule="auto"/>
      <w:ind w:left="0" w:right="0" w:firstLine="0"/>
      <w:jc w:val="left"/>
    </w:pPr>
    <w:r>
      <w:rPr>
        <w:sz w:val="20"/>
      </w:rPr>
      <w:t xml:space="preserve"> </w:t>
    </w:r>
    <w:r>
      <w:rPr>
        <w:sz w:val="20"/>
      </w:rPr>
      <w:tab/>
    </w:r>
    <w:r>
      <w:t xml:space="preserve">Page </w:t>
    </w:r>
    <w:r>
      <w:fldChar w:fldCharType="begin"/>
    </w:r>
    <w:r>
      <w:instrText xml:space="preserve"> PAGE   \* MERGEFORMAT </w:instrText>
    </w:r>
    <w:r>
      <w:fldChar w:fldCharType="separate"/>
    </w:r>
    <w:r>
      <w:t>18</w:t>
    </w:r>
    <w:r>
      <w:fldChar w:fldCharType="end"/>
    </w:r>
    <w:r>
      <w:t xml:space="preserve"> of </w:t>
    </w:r>
    <w:fldSimple w:instr=" NUMPAGES   \* MERGEFORMAT ">
      <w:r>
        <w:t>22</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FB17" w14:textId="77777777" w:rsidR="00361C44" w:rsidRDefault="00000000">
    <w:pPr>
      <w:tabs>
        <w:tab w:val="center" w:pos="5464"/>
      </w:tabs>
      <w:spacing w:after="0" w:line="259" w:lineRule="auto"/>
      <w:ind w:left="0" w:right="0" w:firstLine="0"/>
      <w:jc w:val="left"/>
    </w:pPr>
    <w:r>
      <w:rPr>
        <w:sz w:val="20"/>
      </w:rPr>
      <w:t xml:space="preserve"> </w:t>
    </w:r>
    <w:r>
      <w:rPr>
        <w:sz w:val="20"/>
      </w:rPr>
      <w:tab/>
    </w:r>
    <w:r>
      <w:t xml:space="preserve">Page </w:t>
    </w:r>
    <w:r>
      <w:fldChar w:fldCharType="begin"/>
    </w:r>
    <w:r>
      <w:instrText xml:space="preserve"> PAGE   \* MERGEFORMAT </w:instrText>
    </w:r>
    <w:r>
      <w:fldChar w:fldCharType="separate"/>
    </w:r>
    <w:r>
      <w:t>18</w:t>
    </w:r>
    <w:r>
      <w:fldChar w:fldCharType="end"/>
    </w:r>
    <w:r>
      <w:t xml:space="preserve"> of </w:t>
    </w:r>
    <w:fldSimple w:instr=" NUMPAGES   \* MERGEFORMAT ">
      <w:r>
        <w:t>22</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8FE8" w14:textId="77777777" w:rsidR="00361C44" w:rsidRDefault="00000000">
    <w:pPr>
      <w:tabs>
        <w:tab w:val="center" w:pos="5464"/>
      </w:tabs>
      <w:spacing w:after="0" w:line="259" w:lineRule="auto"/>
      <w:ind w:left="0" w:right="0" w:firstLine="0"/>
      <w:jc w:val="left"/>
    </w:pPr>
    <w:r>
      <w:rPr>
        <w:sz w:val="20"/>
      </w:rPr>
      <w:t xml:space="preserve"> </w:t>
    </w:r>
    <w:r>
      <w:rPr>
        <w:sz w:val="20"/>
      </w:rPr>
      <w:tab/>
    </w:r>
    <w:r>
      <w:t xml:space="preserve">Page </w:t>
    </w:r>
    <w:r>
      <w:fldChar w:fldCharType="begin"/>
    </w:r>
    <w:r>
      <w:instrText xml:space="preserve"> PAGE   \* MERGEFORMAT </w:instrText>
    </w:r>
    <w:r>
      <w:fldChar w:fldCharType="separate"/>
    </w:r>
    <w:r>
      <w:t>18</w:t>
    </w:r>
    <w:r>
      <w:fldChar w:fldCharType="end"/>
    </w:r>
    <w:r>
      <w:t xml:space="preserve"> of </w:t>
    </w:r>
    <w:fldSimple w:instr=" NUMPAGES   \* MERGEFORMAT ">
      <w:r>
        <w:t>22</w:t>
      </w:r>
    </w:fldSimple>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58D1" w14:textId="77777777" w:rsidR="00361C44" w:rsidRDefault="00361C44">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3AA5" w14:textId="77777777" w:rsidR="00361C44" w:rsidRDefault="00361C44">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8CA8" w14:textId="77777777" w:rsidR="00361C44" w:rsidRDefault="00361C44">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BD56" w14:textId="77777777" w:rsidR="00361C44" w:rsidRDefault="00000000">
    <w:pPr>
      <w:spacing w:after="0" w:line="259" w:lineRule="auto"/>
      <w:ind w:left="1320" w:right="0" w:firstLine="0"/>
      <w:jc w:val="center"/>
    </w:pPr>
    <w:r>
      <w:t xml:space="preserve"> </w:t>
    </w:r>
    <w:r>
      <w:fldChar w:fldCharType="begin"/>
    </w:r>
    <w:r>
      <w:instrText xml:space="preserve"> PAGE   \* MERGEFORMAT </w:instrText>
    </w:r>
    <w:r>
      <w:fldChar w:fldCharType="separate"/>
    </w:r>
    <w:r>
      <w:t>22</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49B3" w14:textId="77777777" w:rsidR="00361C44" w:rsidRDefault="00000000">
    <w:pPr>
      <w:spacing w:after="0" w:line="259" w:lineRule="auto"/>
      <w:ind w:left="1320" w:right="0" w:firstLine="0"/>
      <w:jc w:val="center"/>
    </w:pPr>
    <w:r>
      <w:t xml:space="preserve"> </w:t>
    </w:r>
    <w:r>
      <w:fldChar w:fldCharType="begin"/>
    </w:r>
    <w:r>
      <w:instrText xml:space="preserve"> PAGE   \* MERGEFORMAT </w:instrText>
    </w:r>
    <w:r>
      <w:fldChar w:fldCharType="separate"/>
    </w:r>
    <w:r>
      <w:t>22</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FB1E" w14:textId="77777777" w:rsidR="00361C44" w:rsidRDefault="00000000">
    <w:pPr>
      <w:spacing w:after="0" w:line="259" w:lineRule="auto"/>
      <w:ind w:left="1320" w:right="0" w:firstLine="0"/>
      <w:jc w:val="center"/>
    </w:pPr>
    <w:r>
      <w:t xml:space="preserve"> </w:t>
    </w:r>
    <w:r>
      <w:fldChar w:fldCharType="begin"/>
    </w:r>
    <w:r>
      <w:instrText xml:space="preserve"> PAGE   \* MERGEFORMAT </w:instrText>
    </w:r>
    <w:r>
      <w:fldChar w:fldCharType="separate"/>
    </w:r>
    <w:r>
      <w:t>22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01D41" w14:textId="77777777" w:rsidR="00D676C3" w:rsidRDefault="00D676C3">
      <w:pPr>
        <w:spacing w:after="0" w:line="245" w:lineRule="auto"/>
        <w:ind w:left="140" w:right="228" w:firstLine="0"/>
        <w:jc w:val="left"/>
      </w:pPr>
      <w:r>
        <w:separator/>
      </w:r>
    </w:p>
  </w:footnote>
  <w:footnote w:type="continuationSeparator" w:id="0">
    <w:p w14:paraId="775B2D03" w14:textId="77777777" w:rsidR="00D676C3" w:rsidRDefault="00D676C3">
      <w:pPr>
        <w:spacing w:after="0" w:line="245" w:lineRule="auto"/>
        <w:ind w:left="140" w:right="228"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5F7"/>
    <w:multiLevelType w:val="hybridMultilevel"/>
    <w:tmpl w:val="1430C5B0"/>
    <w:lvl w:ilvl="0" w:tplc="71763792">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6631DE">
      <w:start w:val="1"/>
      <w:numFmt w:val="bullet"/>
      <w:lvlText w:val="o"/>
      <w:lvlJc w:val="left"/>
      <w:pPr>
        <w:ind w:left="1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BEC686">
      <w:start w:val="1"/>
      <w:numFmt w:val="bullet"/>
      <w:lvlText w:val="▪"/>
      <w:lvlJc w:val="left"/>
      <w:pPr>
        <w:ind w:left="2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E8DE8C">
      <w:start w:val="1"/>
      <w:numFmt w:val="bullet"/>
      <w:lvlText w:val="•"/>
      <w:lvlJc w:val="left"/>
      <w:pPr>
        <w:ind w:left="3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50D198">
      <w:start w:val="1"/>
      <w:numFmt w:val="bullet"/>
      <w:lvlText w:val="o"/>
      <w:lvlJc w:val="left"/>
      <w:pPr>
        <w:ind w:left="3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887122">
      <w:start w:val="1"/>
      <w:numFmt w:val="bullet"/>
      <w:lvlText w:val="▪"/>
      <w:lvlJc w:val="left"/>
      <w:pPr>
        <w:ind w:left="4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728426">
      <w:start w:val="1"/>
      <w:numFmt w:val="bullet"/>
      <w:lvlText w:val="•"/>
      <w:lvlJc w:val="left"/>
      <w:pPr>
        <w:ind w:left="5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F40218">
      <w:start w:val="1"/>
      <w:numFmt w:val="bullet"/>
      <w:lvlText w:val="o"/>
      <w:lvlJc w:val="left"/>
      <w:pPr>
        <w:ind w:left="5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8E8E66">
      <w:start w:val="1"/>
      <w:numFmt w:val="bullet"/>
      <w:lvlText w:val="▪"/>
      <w:lvlJc w:val="left"/>
      <w:pPr>
        <w:ind w:left="6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D16EA3"/>
    <w:multiLevelType w:val="hybridMultilevel"/>
    <w:tmpl w:val="5FD4C64A"/>
    <w:lvl w:ilvl="0" w:tplc="A1B63724">
      <w:start w:val="1"/>
      <w:numFmt w:val="bullet"/>
      <w:lvlText w:val="•"/>
      <w:lvlJc w:val="left"/>
      <w:pPr>
        <w:ind w:left="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8A2204">
      <w:start w:val="1"/>
      <w:numFmt w:val="bullet"/>
      <w:lvlText w:val="o"/>
      <w:lvlJc w:val="left"/>
      <w:pPr>
        <w:ind w:left="1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7A66D2">
      <w:start w:val="1"/>
      <w:numFmt w:val="bullet"/>
      <w:lvlText w:val="▪"/>
      <w:lvlJc w:val="left"/>
      <w:pPr>
        <w:ind w:left="2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70881A">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54AF96">
      <w:start w:val="1"/>
      <w:numFmt w:val="bullet"/>
      <w:lvlText w:val="o"/>
      <w:lvlJc w:val="left"/>
      <w:pPr>
        <w:ind w:left="3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929560">
      <w:start w:val="1"/>
      <w:numFmt w:val="bullet"/>
      <w:lvlText w:val="▪"/>
      <w:lvlJc w:val="left"/>
      <w:pPr>
        <w:ind w:left="4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7A3F7C">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E6B410">
      <w:start w:val="1"/>
      <w:numFmt w:val="bullet"/>
      <w:lvlText w:val="o"/>
      <w:lvlJc w:val="left"/>
      <w:pPr>
        <w:ind w:left="5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ACD822">
      <w:start w:val="1"/>
      <w:numFmt w:val="bullet"/>
      <w:lvlText w:val="▪"/>
      <w:lvlJc w:val="left"/>
      <w:pPr>
        <w:ind w:left="6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1315B5"/>
    <w:multiLevelType w:val="hybridMultilevel"/>
    <w:tmpl w:val="CAAE169C"/>
    <w:lvl w:ilvl="0" w:tplc="DB501EB6">
      <w:start w:val="1"/>
      <w:numFmt w:val="bullet"/>
      <w:lvlText w:val="•"/>
      <w:lvlJc w:val="left"/>
      <w:pPr>
        <w:ind w:left="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48E3F4">
      <w:start w:val="1"/>
      <w:numFmt w:val="bullet"/>
      <w:lvlText w:val="o"/>
      <w:lvlJc w:val="left"/>
      <w:pPr>
        <w:ind w:left="1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BC9B28">
      <w:start w:val="1"/>
      <w:numFmt w:val="bullet"/>
      <w:lvlText w:val="▪"/>
      <w:lvlJc w:val="left"/>
      <w:pPr>
        <w:ind w:left="2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3C902E">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A8179A">
      <w:start w:val="1"/>
      <w:numFmt w:val="bullet"/>
      <w:lvlText w:val="o"/>
      <w:lvlJc w:val="left"/>
      <w:pPr>
        <w:ind w:left="3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967A22">
      <w:start w:val="1"/>
      <w:numFmt w:val="bullet"/>
      <w:lvlText w:val="▪"/>
      <w:lvlJc w:val="left"/>
      <w:pPr>
        <w:ind w:left="4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12CDD0">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843152">
      <w:start w:val="1"/>
      <w:numFmt w:val="bullet"/>
      <w:lvlText w:val="o"/>
      <w:lvlJc w:val="left"/>
      <w:pPr>
        <w:ind w:left="5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B0EA22">
      <w:start w:val="1"/>
      <w:numFmt w:val="bullet"/>
      <w:lvlText w:val="▪"/>
      <w:lvlJc w:val="left"/>
      <w:pPr>
        <w:ind w:left="6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A925CF"/>
    <w:multiLevelType w:val="hybridMultilevel"/>
    <w:tmpl w:val="7CF072A4"/>
    <w:lvl w:ilvl="0" w:tplc="5FDCDE14">
      <w:start w:val="1"/>
      <w:numFmt w:val="bullet"/>
      <w:lvlText w:val="•"/>
      <w:lvlJc w:val="left"/>
      <w:pPr>
        <w:ind w:left="1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04CCC0">
      <w:start w:val="1"/>
      <w:numFmt w:val="bullet"/>
      <w:lvlText w:val="o"/>
      <w:lvlJc w:val="left"/>
      <w:pPr>
        <w:ind w:left="2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04B6E0">
      <w:start w:val="1"/>
      <w:numFmt w:val="bullet"/>
      <w:lvlText w:val="▪"/>
      <w:lvlJc w:val="left"/>
      <w:pPr>
        <w:ind w:left="3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EA8BBC">
      <w:start w:val="1"/>
      <w:numFmt w:val="bullet"/>
      <w:lvlText w:val="•"/>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30ABC6">
      <w:start w:val="1"/>
      <w:numFmt w:val="bullet"/>
      <w:lvlText w:val="o"/>
      <w:lvlJc w:val="left"/>
      <w:pPr>
        <w:ind w:left="4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2E2B78">
      <w:start w:val="1"/>
      <w:numFmt w:val="bullet"/>
      <w:lvlText w:val="▪"/>
      <w:lvlJc w:val="left"/>
      <w:pPr>
        <w:ind w:left="5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BAC82C">
      <w:start w:val="1"/>
      <w:numFmt w:val="bullet"/>
      <w:lvlText w:val="•"/>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FE266A">
      <w:start w:val="1"/>
      <w:numFmt w:val="bullet"/>
      <w:lvlText w:val="o"/>
      <w:lvlJc w:val="left"/>
      <w:pPr>
        <w:ind w:left="6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76F2BC">
      <w:start w:val="1"/>
      <w:numFmt w:val="bullet"/>
      <w:lvlText w:val="▪"/>
      <w:lvlJc w:val="left"/>
      <w:pPr>
        <w:ind w:left="7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F95857"/>
    <w:multiLevelType w:val="hybridMultilevel"/>
    <w:tmpl w:val="B388032C"/>
    <w:lvl w:ilvl="0" w:tplc="286AB598">
      <w:start w:val="1"/>
      <w:numFmt w:val="bullet"/>
      <w:lvlText w:val="•"/>
      <w:lvlJc w:val="left"/>
      <w:pPr>
        <w:ind w:left="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381D16">
      <w:start w:val="1"/>
      <w:numFmt w:val="bullet"/>
      <w:lvlText w:val="o"/>
      <w:lvlJc w:val="left"/>
      <w:pPr>
        <w:ind w:left="1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74CEAE">
      <w:start w:val="1"/>
      <w:numFmt w:val="bullet"/>
      <w:lvlText w:val="▪"/>
      <w:lvlJc w:val="left"/>
      <w:pPr>
        <w:ind w:left="2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2046BE">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4C40F6">
      <w:start w:val="1"/>
      <w:numFmt w:val="bullet"/>
      <w:lvlText w:val="o"/>
      <w:lvlJc w:val="left"/>
      <w:pPr>
        <w:ind w:left="3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F0ABAE">
      <w:start w:val="1"/>
      <w:numFmt w:val="bullet"/>
      <w:lvlText w:val="▪"/>
      <w:lvlJc w:val="left"/>
      <w:pPr>
        <w:ind w:left="4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DC7504">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50A6F6">
      <w:start w:val="1"/>
      <w:numFmt w:val="bullet"/>
      <w:lvlText w:val="o"/>
      <w:lvlJc w:val="left"/>
      <w:pPr>
        <w:ind w:left="5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1052FA">
      <w:start w:val="1"/>
      <w:numFmt w:val="bullet"/>
      <w:lvlText w:val="▪"/>
      <w:lvlJc w:val="left"/>
      <w:pPr>
        <w:ind w:left="6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B96CB7"/>
    <w:multiLevelType w:val="hybridMultilevel"/>
    <w:tmpl w:val="EB28114C"/>
    <w:lvl w:ilvl="0" w:tplc="FD18181A">
      <w:start w:val="1"/>
      <w:numFmt w:val="bullet"/>
      <w:lvlText w:val="•"/>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6C6B3E">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180F96">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06619A">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02CD9C">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143F96">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263960">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18B2D8">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E48F40">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CF4A75"/>
    <w:multiLevelType w:val="hybridMultilevel"/>
    <w:tmpl w:val="6122B178"/>
    <w:lvl w:ilvl="0" w:tplc="F6246AEA">
      <w:start w:val="1"/>
      <w:numFmt w:val="bullet"/>
      <w:lvlText w:val="•"/>
      <w:lvlJc w:val="left"/>
      <w:pPr>
        <w:ind w:left="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2ABDA0">
      <w:start w:val="1"/>
      <w:numFmt w:val="bullet"/>
      <w:lvlText w:val="o"/>
      <w:lvlJc w:val="left"/>
      <w:pPr>
        <w:ind w:left="1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100C50">
      <w:start w:val="1"/>
      <w:numFmt w:val="bullet"/>
      <w:lvlText w:val="▪"/>
      <w:lvlJc w:val="left"/>
      <w:pPr>
        <w:ind w:left="2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220070">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6CF12A">
      <w:start w:val="1"/>
      <w:numFmt w:val="bullet"/>
      <w:lvlText w:val="o"/>
      <w:lvlJc w:val="left"/>
      <w:pPr>
        <w:ind w:left="3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D4E848">
      <w:start w:val="1"/>
      <w:numFmt w:val="bullet"/>
      <w:lvlText w:val="▪"/>
      <w:lvlJc w:val="left"/>
      <w:pPr>
        <w:ind w:left="4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BE96FA">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989482">
      <w:start w:val="1"/>
      <w:numFmt w:val="bullet"/>
      <w:lvlText w:val="o"/>
      <w:lvlJc w:val="left"/>
      <w:pPr>
        <w:ind w:left="5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264034">
      <w:start w:val="1"/>
      <w:numFmt w:val="bullet"/>
      <w:lvlText w:val="▪"/>
      <w:lvlJc w:val="left"/>
      <w:pPr>
        <w:ind w:left="6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2F3B5B"/>
    <w:multiLevelType w:val="hybridMultilevel"/>
    <w:tmpl w:val="B7E44D74"/>
    <w:lvl w:ilvl="0" w:tplc="DDF8052A">
      <w:start w:val="1"/>
      <w:numFmt w:val="bullet"/>
      <w:lvlText w:val="•"/>
      <w:lvlJc w:val="left"/>
      <w:pPr>
        <w:ind w:left="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DA6E7C">
      <w:start w:val="1"/>
      <w:numFmt w:val="bullet"/>
      <w:lvlText w:val="o"/>
      <w:lvlJc w:val="left"/>
      <w:pPr>
        <w:ind w:left="1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FE2BC0">
      <w:start w:val="1"/>
      <w:numFmt w:val="bullet"/>
      <w:lvlText w:val="▪"/>
      <w:lvlJc w:val="left"/>
      <w:pPr>
        <w:ind w:left="2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E4FA6A">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0656DA">
      <w:start w:val="1"/>
      <w:numFmt w:val="bullet"/>
      <w:lvlText w:val="o"/>
      <w:lvlJc w:val="left"/>
      <w:pPr>
        <w:ind w:left="3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1C6B8C">
      <w:start w:val="1"/>
      <w:numFmt w:val="bullet"/>
      <w:lvlText w:val="▪"/>
      <w:lvlJc w:val="left"/>
      <w:pPr>
        <w:ind w:left="4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6CC8AE">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5C609E">
      <w:start w:val="1"/>
      <w:numFmt w:val="bullet"/>
      <w:lvlText w:val="o"/>
      <w:lvlJc w:val="left"/>
      <w:pPr>
        <w:ind w:left="5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6894D0">
      <w:start w:val="1"/>
      <w:numFmt w:val="bullet"/>
      <w:lvlText w:val="▪"/>
      <w:lvlJc w:val="left"/>
      <w:pPr>
        <w:ind w:left="6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4F3E27"/>
    <w:multiLevelType w:val="hybridMultilevel"/>
    <w:tmpl w:val="2166A486"/>
    <w:lvl w:ilvl="0" w:tplc="3E70A108">
      <w:start w:val="1"/>
      <w:numFmt w:val="bullet"/>
      <w:lvlText w:val="•"/>
      <w:lvlJc w:val="left"/>
      <w:pPr>
        <w:ind w:left="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86C406">
      <w:start w:val="1"/>
      <w:numFmt w:val="bullet"/>
      <w:lvlText w:val="o"/>
      <w:lvlJc w:val="left"/>
      <w:pPr>
        <w:ind w:left="1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F6FF16">
      <w:start w:val="1"/>
      <w:numFmt w:val="bullet"/>
      <w:lvlText w:val="▪"/>
      <w:lvlJc w:val="left"/>
      <w:pPr>
        <w:ind w:left="2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26E3E4">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406384">
      <w:start w:val="1"/>
      <w:numFmt w:val="bullet"/>
      <w:lvlText w:val="o"/>
      <w:lvlJc w:val="left"/>
      <w:pPr>
        <w:ind w:left="3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42A11C">
      <w:start w:val="1"/>
      <w:numFmt w:val="bullet"/>
      <w:lvlText w:val="▪"/>
      <w:lvlJc w:val="left"/>
      <w:pPr>
        <w:ind w:left="4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CE2606">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76F81E">
      <w:start w:val="1"/>
      <w:numFmt w:val="bullet"/>
      <w:lvlText w:val="o"/>
      <w:lvlJc w:val="left"/>
      <w:pPr>
        <w:ind w:left="5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E6ADA6">
      <w:start w:val="1"/>
      <w:numFmt w:val="bullet"/>
      <w:lvlText w:val="▪"/>
      <w:lvlJc w:val="left"/>
      <w:pPr>
        <w:ind w:left="6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E033ECD"/>
    <w:multiLevelType w:val="hybridMultilevel"/>
    <w:tmpl w:val="19567E28"/>
    <w:lvl w:ilvl="0" w:tplc="3CAAA102">
      <w:start w:val="1"/>
      <w:numFmt w:val="bullet"/>
      <w:lvlText w:val="•"/>
      <w:lvlJc w:val="left"/>
      <w:pPr>
        <w:ind w:left="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00E196">
      <w:start w:val="1"/>
      <w:numFmt w:val="bullet"/>
      <w:lvlText w:val="o"/>
      <w:lvlJc w:val="left"/>
      <w:pPr>
        <w:ind w:left="16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5EB740">
      <w:start w:val="1"/>
      <w:numFmt w:val="bullet"/>
      <w:lvlText w:val="▪"/>
      <w:lvlJc w:val="left"/>
      <w:pPr>
        <w:ind w:left="2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60321C">
      <w:start w:val="1"/>
      <w:numFmt w:val="bullet"/>
      <w:lvlText w:val="•"/>
      <w:lvlJc w:val="left"/>
      <w:pPr>
        <w:ind w:left="3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709D7C">
      <w:start w:val="1"/>
      <w:numFmt w:val="bullet"/>
      <w:lvlText w:val="o"/>
      <w:lvlJc w:val="left"/>
      <w:pPr>
        <w:ind w:left="38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C6D6FA">
      <w:start w:val="1"/>
      <w:numFmt w:val="bullet"/>
      <w:lvlText w:val="▪"/>
      <w:lvlJc w:val="left"/>
      <w:pPr>
        <w:ind w:left="4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DC0280">
      <w:start w:val="1"/>
      <w:numFmt w:val="bullet"/>
      <w:lvlText w:val="•"/>
      <w:lvlJc w:val="left"/>
      <w:pPr>
        <w:ind w:left="5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6A1186">
      <w:start w:val="1"/>
      <w:numFmt w:val="bullet"/>
      <w:lvlText w:val="o"/>
      <w:lvlJc w:val="left"/>
      <w:pPr>
        <w:ind w:left="60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F2DC7A">
      <w:start w:val="1"/>
      <w:numFmt w:val="bullet"/>
      <w:lvlText w:val="▪"/>
      <w:lvlJc w:val="left"/>
      <w:pPr>
        <w:ind w:left="67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871522B"/>
    <w:multiLevelType w:val="hybridMultilevel"/>
    <w:tmpl w:val="23B8AC46"/>
    <w:lvl w:ilvl="0" w:tplc="6F8E1D6A">
      <w:start w:val="1"/>
      <w:numFmt w:val="bullet"/>
      <w:lvlText w:val="•"/>
      <w:lvlJc w:val="left"/>
      <w:pPr>
        <w:ind w:left="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0867BE">
      <w:start w:val="1"/>
      <w:numFmt w:val="bullet"/>
      <w:lvlText w:val="o"/>
      <w:lvlJc w:val="left"/>
      <w:pPr>
        <w:ind w:left="1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9ADA2C">
      <w:start w:val="1"/>
      <w:numFmt w:val="bullet"/>
      <w:lvlText w:val="▪"/>
      <w:lvlJc w:val="left"/>
      <w:pPr>
        <w:ind w:left="2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981220">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9A6F7E">
      <w:start w:val="1"/>
      <w:numFmt w:val="bullet"/>
      <w:lvlText w:val="o"/>
      <w:lvlJc w:val="left"/>
      <w:pPr>
        <w:ind w:left="3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447586">
      <w:start w:val="1"/>
      <w:numFmt w:val="bullet"/>
      <w:lvlText w:val="▪"/>
      <w:lvlJc w:val="left"/>
      <w:pPr>
        <w:ind w:left="4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E497C2">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46B26E">
      <w:start w:val="1"/>
      <w:numFmt w:val="bullet"/>
      <w:lvlText w:val="o"/>
      <w:lvlJc w:val="left"/>
      <w:pPr>
        <w:ind w:left="5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787572">
      <w:start w:val="1"/>
      <w:numFmt w:val="bullet"/>
      <w:lvlText w:val="▪"/>
      <w:lvlJc w:val="left"/>
      <w:pPr>
        <w:ind w:left="6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81674D"/>
    <w:multiLevelType w:val="hybridMultilevel"/>
    <w:tmpl w:val="A8F8C054"/>
    <w:lvl w:ilvl="0" w:tplc="F320BA28">
      <w:start w:val="1"/>
      <w:numFmt w:val="bullet"/>
      <w:lvlText w:val="•"/>
      <w:lvlJc w:val="left"/>
      <w:pPr>
        <w:ind w:left="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BE749C">
      <w:start w:val="1"/>
      <w:numFmt w:val="bullet"/>
      <w:lvlText w:val="o"/>
      <w:lvlJc w:val="left"/>
      <w:pPr>
        <w:ind w:left="1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4C5E1C">
      <w:start w:val="1"/>
      <w:numFmt w:val="bullet"/>
      <w:lvlText w:val="▪"/>
      <w:lvlJc w:val="left"/>
      <w:pPr>
        <w:ind w:left="2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F4F524">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C0BA4C">
      <w:start w:val="1"/>
      <w:numFmt w:val="bullet"/>
      <w:lvlText w:val="o"/>
      <w:lvlJc w:val="left"/>
      <w:pPr>
        <w:ind w:left="3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BECD3A">
      <w:start w:val="1"/>
      <w:numFmt w:val="bullet"/>
      <w:lvlText w:val="▪"/>
      <w:lvlJc w:val="left"/>
      <w:pPr>
        <w:ind w:left="4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D050A6">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48BC32">
      <w:start w:val="1"/>
      <w:numFmt w:val="bullet"/>
      <w:lvlText w:val="o"/>
      <w:lvlJc w:val="left"/>
      <w:pPr>
        <w:ind w:left="5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72F570">
      <w:start w:val="1"/>
      <w:numFmt w:val="bullet"/>
      <w:lvlText w:val="▪"/>
      <w:lvlJc w:val="left"/>
      <w:pPr>
        <w:ind w:left="6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FAD5B02"/>
    <w:multiLevelType w:val="hybridMultilevel"/>
    <w:tmpl w:val="6268C5E2"/>
    <w:lvl w:ilvl="0" w:tplc="046E516C">
      <w:start w:val="1"/>
      <w:numFmt w:val="bullet"/>
      <w:lvlText w:val="•"/>
      <w:lvlJc w:val="left"/>
      <w:pPr>
        <w:ind w:left="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608418">
      <w:start w:val="1"/>
      <w:numFmt w:val="bullet"/>
      <w:lvlText w:val="o"/>
      <w:lvlJc w:val="left"/>
      <w:pPr>
        <w:ind w:left="1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64A8C4">
      <w:start w:val="1"/>
      <w:numFmt w:val="bullet"/>
      <w:lvlText w:val="▪"/>
      <w:lvlJc w:val="left"/>
      <w:pPr>
        <w:ind w:left="2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7EE23A">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945924">
      <w:start w:val="1"/>
      <w:numFmt w:val="bullet"/>
      <w:lvlText w:val="o"/>
      <w:lvlJc w:val="left"/>
      <w:pPr>
        <w:ind w:left="3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7C6B40">
      <w:start w:val="1"/>
      <w:numFmt w:val="bullet"/>
      <w:lvlText w:val="▪"/>
      <w:lvlJc w:val="left"/>
      <w:pPr>
        <w:ind w:left="4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1E2CF4">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2CB720">
      <w:start w:val="1"/>
      <w:numFmt w:val="bullet"/>
      <w:lvlText w:val="o"/>
      <w:lvlJc w:val="left"/>
      <w:pPr>
        <w:ind w:left="5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FEFA48">
      <w:start w:val="1"/>
      <w:numFmt w:val="bullet"/>
      <w:lvlText w:val="▪"/>
      <w:lvlJc w:val="left"/>
      <w:pPr>
        <w:ind w:left="6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12771857">
    <w:abstractNumId w:val="6"/>
  </w:num>
  <w:num w:numId="2" w16cid:durableId="1183931844">
    <w:abstractNumId w:val="4"/>
  </w:num>
  <w:num w:numId="3" w16cid:durableId="534775123">
    <w:abstractNumId w:val="11"/>
  </w:num>
  <w:num w:numId="4" w16cid:durableId="673993639">
    <w:abstractNumId w:val="3"/>
  </w:num>
  <w:num w:numId="5" w16cid:durableId="828207698">
    <w:abstractNumId w:val="10"/>
  </w:num>
  <w:num w:numId="6" w16cid:durableId="2054305385">
    <w:abstractNumId w:val="1"/>
  </w:num>
  <w:num w:numId="7" w16cid:durableId="105348280">
    <w:abstractNumId w:val="7"/>
  </w:num>
  <w:num w:numId="8" w16cid:durableId="478497732">
    <w:abstractNumId w:val="0"/>
  </w:num>
  <w:num w:numId="9" w16cid:durableId="793327101">
    <w:abstractNumId w:val="8"/>
  </w:num>
  <w:num w:numId="10" w16cid:durableId="1591742450">
    <w:abstractNumId w:val="9"/>
  </w:num>
  <w:num w:numId="11" w16cid:durableId="1786460288">
    <w:abstractNumId w:val="12"/>
  </w:num>
  <w:num w:numId="12" w16cid:durableId="1528954916">
    <w:abstractNumId w:val="2"/>
  </w:num>
  <w:num w:numId="13" w16cid:durableId="1307932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C44"/>
    <w:rsid w:val="00361C44"/>
    <w:rsid w:val="005916E3"/>
    <w:rsid w:val="00AE30FD"/>
    <w:rsid w:val="00D67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7CC5"/>
  <w15:docId w15:val="{13C5A40D-3CF4-41A7-9EE3-2F117B12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50" w:right="217"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4" w:line="267" w:lineRule="auto"/>
      <w:ind w:left="15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4" w:line="267" w:lineRule="auto"/>
      <w:ind w:left="15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4" w:line="267" w:lineRule="auto"/>
      <w:ind w:left="15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4" w:line="267" w:lineRule="auto"/>
      <w:ind w:left="150" w:hanging="10"/>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4" w:line="267" w:lineRule="auto"/>
      <w:ind w:left="150" w:hanging="10"/>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5" w:lineRule="auto"/>
      <w:ind w:left="140" w:right="22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paragraph" w:styleId="TOC1">
    <w:name w:val="toc 1"/>
    <w:hidden/>
    <w:pPr>
      <w:spacing w:after="271" w:line="269" w:lineRule="auto"/>
      <w:ind w:left="165" w:right="29" w:hanging="10"/>
      <w:jc w:val="both"/>
    </w:pPr>
    <w:rPr>
      <w:rFonts w:ascii="Arial" w:eastAsia="Arial" w:hAnsi="Arial" w:cs="Arial"/>
      <w:color w:val="000000"/>
    </w:rPr>
  </w:style>
  <w:style w:type="paragraph" w:styleId="TOC2">
    <w:name w:val="toc 2"/>
    <w:hidden/>
    <w:pPr>
      <w:spacing w:after="255" w:line="259" w:lineRule="auto"/>
      <w:ind w:left="390" w:right="217" w:hanging="10"/>
      <w:jc w:val="right"/>
    </w:pPr>
    <w:rPr>
      <w:rFonts w:ascii="Arial" w:eastAsia="Arial" w:hAnsi="Arial" w:cs="Arial"/>
      <w:color w:val="00000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1112</Words>
  <Characters>6341</Characters>
  <Application>Microsoft Office Word</Application>
  <DocSecurity>0</DocSecurity>
  <Lines>52</Lines>
  <Paragraphs>14</Paragraphs>
  <ScaleCrop>false</ScaleCrop>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ANIEMEKA, Mark (LEEDS COMMUNITY HEALTHCARE NHS TRUST)</cp:lastModifiedBy>
  <cp:revision>2</cp:revision>
  <dcterms:created xsi:type="dcterms:W3CDTF">2026-05-18T11:04:00Z</dcterms:created>
  <dcterms:modified xsi:type="dcterms:W3CDTF">2026-05-18T11:04:00Z</dcterms:modified>
</cp:coreProperties>
</file>