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85956" w14:textId="77777777" w:rsidR="00DA353C" w:rsidRDefault="00000000">
      <w:pPr>
        <w:spacing w:after="0" w:line="259" w:lineRule="auto"/>
        <w:ind w:left="6482" w:firstLine="0"/>
        <w:jc w:val="left"/>
      </w:pPr>
      <w:r>
        <w:rPr>
          <w:noProof/>
        </w:rPr>
        <w:drawing>
          <wp:inline distT="0" distB="0" distL="0" distR="0" wp14:anchorId="4511DA3D" wp14:editId="58EE2249">
            <wp:extent cx="2254250" cy="1414145"/>
            <wp:effectExtent l="0" t="0" r="0" b="0"/>
            <wp:docPr id="156" name="Picture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54250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45B79" w14:textId="127E8841" w:rsidR="00DA353C" w:rsidRDefault="00DA353C" w:rsidP="00E01066">
      <w:pPr>
        <w:spacing w:after="95" w:line="259" w:lineRule="auto"/>
        <w:jc w:val="left"/>
      </w:pPr>
    </w:p>
    <w:p w14:paraId="35D61D87" w14:textId="77777777" w:rsidR="00DA353C" w:rsidRDefault="00000000">
      <w:pPr>
        <w:pStyle w:val="Heading2"/>
        <w:ind w:left="135"/>
      </w:pPr>
      <w:bookmarkStart w:id="0" w:name="_Toc22282"/>
      <w:r>
        <w:t xml:space="preserve">Appendix 2 – Cover for Absent Colleagues Form – Long Term </w:t>
      </w:r>
      <w:bookmarkEnd w:id="0"/>
    </w:p>
    <w:p w14:paraId="7237A572" w14:textId="77777777" w:rsidR="00DA353C" w:rsidRDefault="00000000">
      <w:pPr>
        <w:spacing w:after="0" w:line="259" w:lineRule="auto"/>
        <w:ind w:left="0" w:firstLine="0"/>
        <w:jc w:val="left"/>
      </w:pPr>
      <w:r>
        <w:rPr>
          <w:b/>
          <w:sz w:val="26"/>
        </w:rPr>
        <w:t xml:space="preserve"> </w:t>
      </w:r>
    </w:p>
    <w:p w14:paraId="5BD30BB6" w14:textId="77777777" w:rsidR="00DA353C" w:rsidRDefault="00000000">
      <w:pPr>
        <w:ind w:left="135" w:right="14"/>
      </w:pPr>
      <w:r>
        <w:t xml:space="preserve">Long Term Cover Arrangements Record Form </w:t>
      </w:r>
    </w:p>
    <w:p w14:paraId="4A75245A" w14:textId="77777777" w:rsidR="00DA353C" w:rsidRDefault="00000000">
      <w:pPr>
        <w:spacing w:after="77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B00655E" w14:textId="77777777" w:rsidR="00DA353C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9249" w:type="dxa"/>
        <w:tblInd w:w="40" w:type="dxa"/>
        <w:tblCellMar>
          <w:top w:w="35" w:type="dxa"/>
          <w:left w:w="10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3086"/>
        <w:gridCol w:w="6163"/>
      </w:tblGrid>
      <w:tr w:rsidR="00DA353C" w14:paraId="37C3BA49" w14:textId="77777777">
        <w:trPr>
          <w:trHeight w:val="285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845E" w14:textId="77777777" w:rsidR="00DA353C" w:rsidRDefault="00000000">
            <w:pPr>
              <w:spacing w:after="0" w:line="259" w:lineRule="auto"/>
              <w:ind w:left="105" w:firstLine="0"/>
              <w:jc w:val="left"/>
            </w:pPr>
            <w:r>
              <w:t xml:space="preserve">Practitioner 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CCFC" w14:textId="77777777" w:rsidR="00DA353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A353C" w14:paraId="6E01F50A" w14:textId="77777777">
        <w:trPr>
          <w:trHeight w:val="285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5B15" w14:textId="77777777" w:rsidR="00DA353C" w:rsidRDefault="00000000">
            <w:pPr>
              <w:spacing w:after="0" w:line="259" w:lineRule="auto"/>
              <w:ind w:left="105" w:firstLine="0"/>
              <w:jc w:val="left"/>
            </w:pPr>
            <w:r>
              <w:t xml:space="preserve">Service Manager 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294C" w14:textId="77777777" w:rsidR="00DA353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A353C" w14:paraId="2144E4F9" w14:textId="77777777">
        <w:trPr>
          <w:trHeight w:val="3326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75D2" w14:textId="6A6CDEB0" w:rsidR="00DA353C" w:rsidRDefault="00000000">
            <w:pPr>
              <w:spacing w:after="0" w:line="259" w:lineRule="auto"/>
              <w:ind w:left="105" w:firstLine="0"/>
              <w:jc w:val="left"/>
            </w:pPr>
            <w:r>
              <w:t xml:space="preserve">Reason for </w:t>
            </w:r>
            <w:r>
              <w:tab/>
              <w:t xml:space="preserve">cover and anticipated duration. 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D66D" w14:textId="77777777" w:rsidR="00DA353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A353C" w14:paraId="7E232670" w14:textId="77777777">
        <w:trPr>
          <w:trHeight w:val="1940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E1F9" w14:textId="7858316B" w:rsidR="00DA353C" w:rsidRDefault="00000000">
            <w:pPr>
              <w:tabs>
                <w:tab w:val="center" w:pos="1367"/>
                <w:tab w:val="center" w:pos="1980"/>
                <w:tab w:val="right" w:pos="3038"/>
              </w:tabs>
              <w:spacing w:after="0" w:line="259" w:lineRule="auto"/>
              <w:ind w:left="0" w:firstLine="0"/>
              <w:jc w:val="left"/>
            </w:pPr>
            <w:r>
              <w:t xml:space="preserve">Change to </w:t>
            </w:r>
            <w:r>
              <w:tab/>
              <w:t>Job</w:t>
            </w:r>
            <w:r w:rsidR="00E01066">
              <w:t xml:space="preserve"> </w:t>
            </w:r>
            <w:r>
              <w:t xml:space="preserve">Plan </w:t>
            </w:r>
          </w:p>
          <w:p w14:paraId="01B9EC2C" w14:textId="77777777" w:rsidR="00DA353C" w:rsidRDefault="00000000" w:rsidP="00E01066">
            <w:pPr>
              <w:spacing w:after="0" w:line="259" w:lineRule="auto"/>
              <w:ind w:left="0" w:firstLine="0"/>
              <w:jc w:val="left"/>
            </w:pPr>
            <w:r>
              <w:t xml:space="preserve">Considered /Outcome. 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F7E0" w14:textId="77777777" w:rsidR="00DA353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A353C" w14:paraId="306DC8ED" w14:textId="77777777">
        <w:trPr>
          <w:trHeight w:val="1946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9445" w14:textId="6DA7F9D9" w:rsidR="00DA353C" w:rsidRDefault="00000000">
            <w:pPr>
              <w:tabs>
                <w:tab w:val="center" w:pos="1996"/>
                <w:tab w:val="right" w:pos="3038"/>
              </w:tabs>
              <w:spacing w:after="0" w:line="259" w:lineRule="auto"/>
              <w:ind w:left="0" w:firstLine="0"/>
              <w:jc w:val="left"/>
            </w:pPr>
            <w:r>
              <w:t xml:space="preserve">Additional payment </w:t>
            </w:r>
            <w:r>
              <w:tab/>
              <w:t xml:space="preserve">– </w:t>
            </w:r>
          </w:p>
          <w:p w14:paraId="36F2DF07" w14:textId="77777777" w:rsidR="00DA353C" w:rsidRDefault="00000000">
            <w:pPr>
              <w:spacing w:after="0" w:line="259" w:lineRule="auto"/>
              <w:ind w:left="105" w:firstLine="0"/>
              <w:jc w:val="left"/>
            </w:pPr>
            <w:r>
              <w:t xml:space="preserve">hourly rates </w:t>
            </w:r>
          </w:p>
          <w:p w14:paraId="1E62DFB8" w14:textId="77777777" w:rsidR="00DA353C" w:rsidRDefault="00000000">
            <w:pPr>
              <w:spacing w:after="0" w:line="259" w:lineRule="auto"/>
              <w:ind w:left="105" w:firstLine="0"/>
              <w:jc w:val="left"/>
            </w:pPr>
            <w:r>
              <w:t xml:space="preserve">Considered/Outcome 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56F5" w14:textId="77777777" w:rsidR="00DA353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A353C" w14:paraId="53965EB5" w14:textId="77777777">
        <w:trPr>
          <w:trHeight w:val="1941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F05B" w14:textId="77777777" w:rsidR="00DA353C" w:rsidRDefault="00000000">
            <w:pPr>
              <w:spacing w:after="0" w:line="259" w:lineRule="auto"/>
              <w:ind w:left="105" w:firstLine="0"/>
              <w:jc w:val="left"/>
            </w:pPr>
            <w:r>
              <w:lastRenderedPageBreak/>
              <w:t xml:space="preserve">Acting Up </w:t>
            </w:r>
          </w:p>
          <w:p w14:paraId="712EBF1A" w14:textId="77777777" w:rsidR="00DA353C" w:rsidRDefault="00000000">
            <w:pPr>
              <w:spacing w:after="0" w:line="259" w:lineRule="auto"/>
              <w:ind w:left="105" w:firstLine="0"/>
              <w:jc w:val="left"/>
            </w:pPr>
            <w:r>
              <w:t xml:space="preserve">Considered/Outcome 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645F4" w14:textId="77777777" w:rsidR="00DA353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A353C" w14:paraId="2D7A8D6C" w14:textId="77777777">
        <w:trPr>
          <w:trHeight w:val="1941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2104" w14:textId="77777777" w:rsidR="00DA353C" w:rsidRDefault="00000000">
            <w:pPr>
              <w:spacing w:after="0" w:line="259" w:lineRule="auto"/>
              <w:ind w:left="105" w:firstLine="0"/>
              <w:jc w:val="left"/>
            </w:pPr>
            <w:r>
              <w:t xml:space="preserve">External Options </w:t>
            </w:r>
          </w:p>
          <w:p w14:paraId="2E4B796F" w14:textId="77777777" w:rsidR="00DA353C" w:rsidRDefault="00000000">
            <w:pPr>
              <w:spacing w:after="0" w:line="259" w:lineRule="auto"/>
              <w:ind w:left="105" w:firstLine="0"/>
              <w:jc w:val="left"/>
            </w:pPr>
            <w:r>
              <w:t xml:space="preserve">Considered/Outcome 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6F24" w14:textId="77777777" w:rsidR="00DA353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51903DCD" w14:textId="77777777" w:rsidR="00DA353C" w:rsidRDefault="00000000">
      <w:pPr>
        <w:ind w:left="135" w:right="14"/>
      </w:pPr>
      <w:r>
        <w:t xml:space="preserve">Service managers should keep the arrangements under review with the practitioner. </w:t>
      </w:r>
    </w:p>
    <w:p w14:paraId="259FCBF3" w14:textId="77777777" w:rsidR="00DA353C" w:rsidRDefault="00000000">
      <w:pPr>
        <w:ind w:left="135" w:right="14"/>
      </w:pPr>
      <w:proofErr w:type="gramStart"/>
      <w:r>
        <w:t>Particular note</w:t>
      </w:r>
      <w:proofErr w:type="gramEnd"/>
      <w:r>
        <w:t xml:space="preserve"> should be taken of the term of the agreed arrangements and if additional Programmed Activities are agreed through Job </w:t>
      </w:r>
      <w:proofErr w:type="gramStart"/>
      <w:r>
        <w:t>Planning</w:t>
      </w:r>
      <w:proofErr w:type="gramEnd"/>
      <w:r>
        <w:t xml:space="preserve"> then the notice period required to amend the arrangements must be followed. </w:t>
      </w:r>
    </w:p>
    <w:p w14:paraId="7E5FE105" w14:textId="77777777" w:rsidR="00DA353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F48826A" w14:textId="77777777" w:rsidR="00DA353C" w:rsidRDefault="00000000">
      <w:pPr>
        <w:spacing w:after="543"/>
        <w:ind w:left="135" w:right="14"/>
      </w:pPr>
      <w:r>
        <w:t xml:space="preserve">Rates of remuneration are to be found in Appendix 3. </w:t>
      </w:r>
    </w:p>
    <w:p w14:paraId="6D970ECC" w14:textId="1F0A1D39" w:rsidR="00DA353C" w:rsidRDefault="00000000" w:rsidP="00E01066">
      <w:pPr>
        <w:spacing w:after="539"/>
        <w:ind w:left="135" w:right="14"/>
      </w:pPr>
      <w:r>
        <w:t>Signed (Practitioner</w:t>
      </w:r>
      <w:proofErr w:type="gramStart"/>
      <w:r>
        <w:t>) :</w:t>
      </w:r>
      <w:proofErr w:type="gramEnd"/>
      <w:r>
        <w:t xml:space="preserve"> </w:t>
      </w:r>
    </w:p>
    <w:p w14:paraId="571F8D30" w14:textId="77777777" w:rsidR="00DA353C" w:rsidRDefault="00000000">
      <w:pPr>
        <w:ind w:left="135" w:right="14"/>
      </w:pPr>
      <w:r>
        <w:t>Signed (Service Manager</w:t>
      </w:r>
      <w:proofErr w:type="gramStart"/>
      <w:r>
        <w:t>) :</w:t>
      </w:r>
      <w:proofErr w:type="gramEnd"/>
      <w:r>
        <w:t xml:space="preserve"> </w:t>
      </w:r>
    </w:p>
    <w:p w14:paraId="039705A8" w14:textId="7AE3772A" w:rsidR="00DA353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3C0ACA3" w14:textId="7F912E52" w:rsidR="00DA353C" w:rsidRDefault="00000000">
      <w:pPr>
        <w:ind w:left="135" w:right="14"/>
      </w:pPr>
      <w:proofErr w:type="gramStart"/>
      <w:r>
        <w:t>Date :</w:t>
      </w:r>
      <w:proofErr w:type="gramEnd"/>
      <w:r>
        <w:t xml:space="preserve"> </w:t>
      </w:r>
    </w:p>
    <w:sectPr w:rsidR="00DA35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50"/>
      <w:pgMar w:top="1181" w:right="1144" w:bottom="1790" w:left="991" w:header="720" w:footer="66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8FB69" w14:textId="77777777" w:rsidR="00E877CA" w:rsidRDefault="00E877CA">
      <w:pPr>
        <w:spacing w:after="0" w:line="240" w:lineRule="auto"/>
      </w:pPr>
      <w:r>
        <w:separator/>
      </w:r>
    </w:p>
  </w:endnote>
  <w:endnote w:type="continuationSeparator" w:id="0">
    <w:p w14:paraId="4C7964D3" w14:textId="77777777" w:rsidR="00E877CA" w:rsidRDefault="00E87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4416D" w14:textId="77777777" w:rsidR="00DA353C" w:rsidRDefault="00000000">
    <w:pPr>
      <w:tabs>
        <w:tab w:val="center" w:pos="4957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10</w:t>
    </w:r>
    <w:r>
      <w:rPr>
        <w:sz w:val="18"/>
      </w:rPr>
      <w:fldChar w:fldCharType="end"/>
    </w:r>
    <w:r>
      <w:rPr>
        <w:sz w:val="18"/>
      </w:rPr>
      <w:t xml:space="preserve"> of </w:t>
    </w:r>
    <w:fldSimple w:instr=" NUMPAGES   \* MERGEFORMAT ">
      <w:r>
        <w:rPr>
          <w:sz w:val="18"/>
        </w:rPr>
        <w:t>15</w:t>
      </w:r>
    </w:fldSimple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29A80" w14:textId="77777777" w:rsidR="00DA353C" w:rsidRDefault="00000000">
    <w:pPr>
      <w:tabs>
        <w:tab w:val="center" w:pos="4957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10</w:t>
    </w:r>
    <w:r>
      <w:rPr>
        <w:sz w:val="18"/>
      </w:rPr>
      <w:fldChar w:fldCharType="end"/>
    </w:r>
    <w:r>
      <w:rPr>
        <w:sz w:val="18"/>
      </w:rPr>
      <w:t xml:space="preserve"> of </w:t>
    </w:r>
    <w:fldSimple w:instr=" NUMPAGES   \* MERGEFORMAT ">
      <w:r>
        <w:rPr>
          <w:sz w:val="18"/>
        </w:rPr>
        <w:t>15</w:t>
      </w:r>
    </w:fldSimple>
    <w:r>
      <w:rPr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AC3DB" w14:textId="77777777" w:rsidR="00DA353C" w:rsidRDefault="00000000">
    <w:pPr>
      <w:tabs>
        <w:tab w:val="center" w:pos="4907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</w:t>
    </w:r>
    <w:fldSimple w:instr=" NUMPAGES   \* MERGEFORMAT ">
      <w:r>
        <w:rPr>
          <w:sz w:val="18"/>
        </w:rPr>
        <w:t>15</w:t>
      </w:r>
    </w:fldSimple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92B64" w14:textId="77777777" w:rsidR="00E877CA" w:rsidRDefault="00E877CA">
      <w:pPr>
        <w:spacing w:after="0" w:line="240" w:lineRule="auto"/>
      </w:pPr>
      <w:r>
        <w:separator/>
      </w:r>
    </w:p>
  </w:footnote>
  <w:footnote w:type="continuationSeparator" w:id="0">
    <w:p w14:paraId="48C90596" w14:textId="77777777" w:rsidR="00E877CA" w:rsidRDefault="00E87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FDB3B" w14:textId="77777777" w:rsidR="00DA353C" w:rsidRDefault="00DA353C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654FE" w14:textId="77777777" w:rsidR="00DA353C" w:rsidRDefault="00DA353C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CF7A" w14:textId="77777777" w:rsidR="00DA353C" w:rsidRDefault="00DA353C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C0F75"/>
    <w:multiLevelType w:val="hybridMultilevel"/>
    <w:tmpl w:val="522A8EDC"/>
    <w:lvl w:ilvl="0" w:tplc="2990D42A">
      <w:start w:val="1"/>
      <w:numFmt w:val="bullet"/>
      <w:lvlText w:val="•"/>
      <w:lvlJc w:val="left"/>
      <w:pPr>
        <w:ind w:left="1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C0A7BE">
      <w:start w:val="1"/>
      <w:numFmt w:val="bullet"/>
      <w:lvlText w:val="o"/>
      <w:lvlJc w:val="left"/>
      <w:pPr>
        <w:ind w:left="1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FEAD9C">
      <w:start w:val="1"/>
      <w:numFmt w:val="bullet"/>
      <w:lvlText w:val="▪"/>
      <w:lvlJc w:val="left"/>
      <w:pPr>
        <w:ind w:left="2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1C3BEA">
      <w:start w:val="1"/>
      <w:numFmt w:val="bullet"/>
      <w:lvlText w:val="•"/>
      <w:lvlJc w:val="left"/>
      <w:pPr>
        <w:ind w:left="2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AEA2A6">
      <w:start w:val="1"/>
      <w:numFmt w:val="bullet"/>
      <w:lvlText w:val="o"/>
      <w:lvlJc w:val="left"/>
      <w:pPr>
        <w:ind w:left="3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823D76">
      <w:start w:val="1"/>
      <w:numFmt w:val="bullet"/>
      <w:lvlText w:val="▪"/>
      <w:lvlJc w:val="left"/>
      <w:pPr>
        <w:ind w:left="4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EAFF84">
      <w:start w:val="1"/>
      <w:numFmt w:val="bullet"/>
      <w:lvlText w:val="•"/>
      <w:lvlJc w:val="left"/>
      <w:pPr>
        <w:ind w:left="49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10E8D4">
      <w:start w:val="1"/>
      <w:numFmt w:val="bullet"/>
      <w:lvlText w:val="o"/>
      <w:lvlJc w:val="left"/>
      <w:pPr>
        <w:ind w:left="56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0CB034">
      <w:start w:val="1"/>
      <w:numFmt w:val="bullet"/>
      <w:lvlText w:val="▪"/>
      <w:lvlJc w:val="left"/>
      <w:pPr>
        <w:ind w:left="63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2427B0"/>
    <w:multiLevelType w:val="hybridMultilevel"/>
    <w:tmpl w:val="25405BBA"/>
    <w:lvl w:ilvl="0" w:tplc="65087D8E">
      <w:start w:val="1"/>
      <w:numFmt w:val="bullet"/>
      <w:lvlText w:val="•"/>
      <w:lvlJc w:val="left"/>
      <w:pPr>
        <w:ind w:left="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90F0F4">
      <w:start w:val="1"/>
      <w:numFmt w:val="bullet"/>
      <w:lvlText w:val="o"/>
      <w:lvlJc w:val="left"/>
      <w:pPr>
        <w:ind w:left="1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C48446">
      <w:start w:val="1"/>
      <w:numFmt w:val="bullet"/>
      <w:lvlText w:val="▪"/>
      <w:lvlJc w:val="left"/>
      <w:pPr>
        <w:ind w:left="2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AAA6D2">
      <w:start w:val="1"/>
      <w:numFmt w:val="bullet"/>
      <w:lvlText w:val="•"/>
      <w:lvlJc w:val="left"/>
      <w:pPr>
        <w:ind w:left="3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EA94E0">
      <w:start w:val="1"/>
      <w:numFmt w:val="bullet"/>
      <w:lvlText w:val="o"/>
      <w:lvlJc w:val="left"/>
      <w:pPr>
        <w:ind w:left="3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7631A6">
      <w:start w:val="1"/>
      <w:numFmt w:val="bullet"/>
      <w:lvlText w:val="▪"/>
      <w:lvlJc w:val="left"/>
      <w:pPr>
        <w:ind w:left="4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12A3E2">
      <w:start w:val="1"/>
      <w:numFmt w:val="bullet"/>
      <w:lvlText w:val="•"/>
      <w:lvlJc w:val="left"/>
      <w:pPr>
        <w:ind w:left="5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4E0418">
      <w:start w:val="1"/>
      <w:numFmt w:val="bullet"/>
      <w:lvlText w:val="o"/>
      <w:lvlJc w:val="left"/>
      <w:pPr>
        <w:ind w:left="5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88A2C8">
      <w:start w:val="1"/>
      <w:numFmt w:val="bullet"/>
      <w:lvlText w:val="▪"/>
      <w:lvlJc w:val="left"/>
      <w:pPr>
        <w:ind w:left="6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F57121"/>
    <w:multiLevelType w:val="hybridMultilevel"/>
    <w:tmpl w:val="B0A4051A"/>
    <w:lvl w:ilvl="0" w:tplc="1E32AC74">
      <w:start w:val="1"/>
      <w:numFmt w:val="bullet"/>
      <w:lvlText w:val="•"/>
      <w:lvlJc w:val="left"/>
      <w:pPr>
        <w:ind w:left="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2A7D06">
      <w:start w:val="1"/>
      <w:numFmt w:val="bullet"/>
      <w:lvlText w:val="o"/>
      <w:lvlJc w:val="left"/>
      <w:pPr>
        <w:ind w:left="1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4C4362">
      <w:start w:val="1"/>
      <w:numFmt w:val="bullet"/>
      <w:lvlText w:val="▪"/>
      <w:lvlJc w:val="left"/>
      <w:pPr>
        <w:ind w:left="2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C673C2">
      <w:start w:val="1"/>
      <w:numFmt w:val="bullet"/>
      <w:lvlText w:val="•"/>
      <w:lvlJc w:val="left"/>
      <w:pPr>
        <w:ind w:left="3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90A64E">
      <w:start w:val="1"/>
      <w:numFmt w:val="bullet"/>
      <w:lvlText w:val="o"/>
      <w:lvlJc w:val="left"/>
      <w:pPr>
        <w:ind w:left="3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9A180E">
      <w:start w:val="1"/>
      <w:numFmt w:val="bullet"/>
      <w:lvlText w:val="▪"/>
      <w:lvlJc w:val="left"/>
      <w:pPr>
        <w:ind w:left="4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000018">
      <w:start w:val="1"/>
      <w:numFmt w:val="bullet"/>
      <w:lvlText w:val="•"/>
      <w:lvlJc w:val="left"/>
      <w:pPr>
        <w:ind w:left="5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5C38BC">
      <w:start w:val="1"/>
      <w:numFmt w:val="bullet"/>
      <w:lvlText w:val="o"/>
      <w:lvlJc w:val="left"/>
      <w:pPr>
        <w:ind w:left="5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F6E1DA">
      <w:start w:val="1"/>
      <w:numFmt w:val="bullet"/>
      <w:lvlText w:val="▪"/>
      <w:lvlJc w:val="left"/>
      <w:pPr>
        <w:ind w:left="6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7586103">
    <w:abstractNumId w:val="1"/>
  </w:num>
  <w:num w:numId="2" w16cid:durableId="420371699">
    <w:abstractNumId w:val="2"/>
  </w:num>
  <w:num w:numId="3" w16cid:durableId="1445881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53C"/>
    <w:rsid w:val="008D792A"/>
    <w:rsid w:val="00DA353C"/>
    <w:rsid w:val="00E01066"/>
    <w:rsid w:val="00E8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C13DB"/>
  <w15:docId w15:val="{898AE85B-2631-40DF-AA99-FD5A2539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8" w:lineRule="auto"/>
      <w:ind w:left="435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" w:line="255" w:lineRule="auto"/>
      <w:ind w:left="150" w:hanging="10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6" w:line="259" w:lineRule="auto"/>
      <w:ind w:left="150" w:hanging="10"/>
      <w:outlineLvl w:val="1"/>
    </w:pPr>
    <w:rPr>
      <w:rFonts w:ascii="Arial" w:eastAsia="Arial" w:hAnsi="Arial" w:cs="Arial"/>
      <w:b/>
      <w:color w:val="000000"/>
      <w:sz w:val="26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6" w:line="259" w:lineRule="auto"/>
      <w:ind w:left="150" w:hanging="10"/>
      <w:outlineLvl w:val="2"/>
    </w:pPr>
    <w:rPr>
      <w:rFonts w:ascii="Arial" w:eastAsia="Arial" w:hAnsi="Arial" w:cs="Arial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6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6"/>
    </w:rPr>
  </w:style>
  <w:style w:type="paragraph" w:styleId="TOC1">
    <w:name w:val="toc 1"/>
    <w:hidden/>
    <w:pPr>
      <w:spacing w:after="14" w:line="248" w:lineRule="auto"/>
      <w:ind w:left="450" w:right="30" w:hanging="10"/>
      <w:jc w:val="both"/>
    </w:pPr>
    <w:rPr>
      <w:rFonts w:ascii="Arial" w:eastAsia="Arial" w:hAnsi="Arial" w:cs="Arial"/>
      <w:color w:val="000000"/>
    </w:rPr>
  </w:style>
  <w:style w:type="paragraph" w:styleId="TOC2">
    <w:name w:val="toc 2"/>
    <w:hidden/>
    <w:pPr>
      <w:spacing w:after="14" w:line="248" w:lineRule="auto"/>
      <w:ind w:left="931" w:right="30" w:hanging="10"/>
      <w:jc w:val="both"/>
    </w:pPr>
    <w:rPr>
      <w:rFonts w:ascii="Arial" w:eastAsia="Arial" w:hAnsi="Arial" w:cs="Arial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ANIEMEKA, Mark (LEEDS COMMUNITY HEALTHCARE NHS TRUST)</cp:lastModifiedBy>
  <cp:revision>2</cp:revision>
  <dcterms:created xsi:type="dcterms:W3CDTF">2026-05-07T11:33:00Z</dcterms:created>
  <dcterms:modified xsi:type="dcterms:W3CDTF">2026-05-07T11:33:00Z</dcterms:modified>
</cp:coreProperties>
</file>