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9F3F" w14:textId="73BC39CE" w:rsidR="00245868" w:rsidRDefault="00245868">
      <w:pPr>
        <w:spacing w:after="0" w:line="259" w:lineRule="auto"/>
        <w:ind w:left="0" w:firstLine="0"/>
      </w:pPr>
    </w:p>
    <w:p w14:paraId="21A614EC" w14:textId="77777777" w:rsidR="00245868" w:rsidRDefault="00000000" w:rsidP="007605FA">
      <w:pPr>
        <w:spacing w:after="195" w:line="243" w:lineRule="auto"/>
        <w:ind w:left="951" w:firstLine="0"/>
      </w:pPr>
      <w:r>
        <w:rPr>
          <w:sz w:val="18"/>
        </w:rPr>
        <w:t xml:space="preserve">Medical Appraisal Policy to support revalidation of Consultants, SAS Doctors and Dentists in Leeds Community Healthcare NHS Trust </w:t>
      </w:r>
    </w:p>
    <w:p w14:paraId="7B7D5DD3" w14:textId="77777777" w:rsidR="00245868" w:rsidRDefault="00000000">
      <w:pPr>
        <w:spacing w:after="0" w:line="259" w:lineRule="auto"/>
        <w:ind w:left="0" w:firstLine="0"/>
      </w:pPr>
      <w:r>
        <w:t xml:space="preserve"> </w:t>
      </w:r>
    </w:p>
    <w:p w14:paraId="13855B6B" w14:textId="77777777" w:rsidR="00245868" w:rsidRDefault="00000000">
      <w:pPr>
        <w:spacing w:after="0" w:line="259" w:lineRule="auto"/>
        <w:ind w:left="961" w:hanging="10"/>
      </w:pPr>
      <w:r>
        <w:rPr>
          <w:b/>
        </w:rPr>
        <w:t xml:space="preserve">Appendix C: </w:t>
      </w:r>
    </w:p>
    <w:p w14:paraId="7E10E3C5" w14:textId="77777777" w:rsidR="00245868" w:rsidRDefault="00000000">
      <w:pPr>
        <w:spacing w:after="10"/>
        <w:ind w:left="951" w:right="6" w:firstLine="0"/>
      </w:pPr>
      <w:r>
        <w:t xml:space="preserve">Person specification for appraisers </w:t>
      </w:r>
    </w:p>
    <w:p w14:paraId="68FEFCD7" w14:textId="77777777" w:rsidR="00245868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9359" w:type="dxa"/>
        <w:tblInd w:w="845" w:type="dxa"/>
        <w:tblCellMar>
          <w:top w:w="171" w:type="dxa"/>
          <w:left w:w="110" w:type="dxa"/>
          <w:bottom w:w="14" w:type="dxa"/>
          <w:right w:w="45" w:type="dxa"/>
        </w:tblCellMar>
        <w:tblLook w:val="04A0" w:firstRow="1" w:lastRow="0" w:firstColumn="1" w:lastColumn="0" w:noHBand="0" w:noVBand="1"/>
      </w:tblPr>
      <w:tblGrid>
        <w:gridCol w:w="3247"/>
        <w:gridCol w:w="6112"/>
      </w:tblGrid>
      <w:tr w:rsidR="00245868" w14:paraId="6E58E64A" w14:textId="77777777">
        <w:trPr>
          <w:trHeight w:val="1870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C31D" w14:textId="77777777" w:rsidR="00245868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DE70" w14:textId="77777777" w:rsidR="00245868" w:rsidRDefault="00000000">
            <w:pPr>
              <w:spacing w:after="120" w:line="239" w:lineRule="auto"/>
              <w:ind w:left="0" w:firstLine="0"/>
            </w:pPr>
            <w:r>
              <w:t xml:space="preserve">Medical degree, plus any postgraduate qualification required </w:t>
            </w:r>
          </w:p>
          <w:p w14:paraId="2E4D63A7" w14:textId="77777777" w:rsidR="00245868" w:rsidRDefault="00000000">
            <w:pPr>
              <w:spacing w:after="97" w:line="259" w:lineRule="auto"/>
              <w:ind w:left="0" w:firstLine="0"/>
            </w:pPr>
            <w:r>
              <w:t xml:space="preserve">GMC licence to practise </w:t>
            </w:r>
          </w:p>
          <w:p w14:paraId="69F4C5E6" w14:textId="77777777" w:rsidR="00245868" w:rsidRDefault="00000000">
            <w:pPr>
              <w:spacing w:after="0" w:line="259" w:lineRule="auto"/>
              <w:ind w:left="0" w:firstLine="0"/>
            </w:pPr>
            <w:r>
              <w:t xml:space="preserve">Where appropriate, entry on GMC specialist or general practitioner performers list </w:t>
            </w:r>
          </w:p>
        </w:tc>
      </w:tr>
      <w:tr w:rsidR="00245868" w14:paraId="6F8D99DB" w14:textId="77777777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87A3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61A3" w14:textId="77777777" w:rsidR="00245868" w:rsidRDefault="00000000">
            <w:pPr>
              <w:spacing w:after="0" w:line="259" w:lineRule="auto"/>
              <w:ind w:left="0" w:firstLine="0"/>
            </w:pPr>
            <w:r>
              <w:t xml:space="preserve">Completion of initial medical appraiser training </w:t>
            </w:r>
          </w:p>
        </w:tc>
      </w:tr>
      <w:tr w:rsidR="00245868" w14:paraId="5267CAC0" w14:textId="77777777">
        <w:trPr>
          <w:trHeight w:val="800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5920" w14:textId="77777777" w:rsidR="00245868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F021" w14:textId="77777777" w:rsidR="00245868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Experience of managing time to ensure deadlines are met </w:t>
            </w:r>
          </w:p>
        </w:tc>
      </w:tr>
      <w:tr w:rsidR="00245868" w14:paraId="3E6D9214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9FA65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DBF2" w14:textId="77777777" w:rsidR="00245868" w:rsidRDefault="00000000">
            <w:pPr>
              <w:spacing w:after="0" w:line="259" w:lineRule="auto"/>
              <w:ind w:left="0" w:firstLine="0"/>
            </w:pPr>
            <w:r>
              <w:t xml:space="preserve">Experience of applying principles of adult education or quality improvement </w:t>
            </w:r>
          </w:p>
        </w:tc>
      </w:tr>
      <w:tr w:rsidR="00245868" w14:paraId="163BDB30" w14:textId="77777777">
        <w:trPr>
          <w:trHeight w:val="10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E7D4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6C56" w14:textId="77777777" w:rsidR="00245868" w:rsidRDefault="00000000">
            <w:pPr>
              <w:spacing w:after="0" w:line="259" w:lineRule="auto"/>
              <w:ind w:left="0" w:right="123" w:firstLine="0"/>
              <w:jc w:val="both"/>
            </w:pPr>
            <w:r>
              <w:t xml:space="preserve">Has been subject to a minimum of three appraisals, not including those in training grades </w:t>
            </w:r>
          </w:p>
        </w:tc>
      </w:tr>
      <w:tr w:rsidR="00245868" w14:paraId="4EE7578F" w14:textId="77777777">
        <w:trPr>
          <w:trHeight w:val="2271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7FE8" w14:textId="77777777" w:rsidR="00245868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Knowledge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94FC" w14:textId="77777777" w:rsidR="00245868" w:rsidRDefault="00000000">
            <w:pPr>
              <w:spacing w:after="102" w:line="259" w:lineRule="auto"/>
              <w:ind w:left="0" w:firstLine="0"/>
            </w:pPr>
            <w:r>
              <w:t xml:space="preserve">Knowledge of the role of medical appraiser </w:t>
            </w:r>
          </w:p>
          <w:p w14:paraId="444F801B" w14:textId="77777777" w:rsidR="00245868" w:rsidRDefault="00000000">
            <w:pPr>
              <w:spacing w:after="120" w:line="239" w:lineRule="auto"/>
              <w:ind w:left="0" w:firstLine="0"/>
            </w:pPr>
            <w:r>
              <w:t xml:space="preserve">Knowledge of the purpose and process of medical appraisal </w:t>
            </w:r>
          </w:p>
          <w:p w14:paraId="38F26FB0" w14:textId="77777777" w:rsidR="00245868" w:rsidRDefault="00000000">
            <w:pPr>
              <w:spacing w:after="97" w:line="259" w:lineRule="auto"/>
              <w:ind w:left="0" w:firstLine="0"/>
            </w:pPr>
            <w:r>
              <w:t xml:space="preserve">Knowledge of the principles of revalidation </w:t>
            </w:r>
          </w:p>
          <w:p w14:paraId="47B391A6" w14:textId="77777777" w:rsidR="00245868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Knowledge of educational principles and techniques which are relevant to medical appraisal </w:t>
            </w:r>
          </w:p>
        </w:tc>
      </w:tr>
      <w:tr w:rsidR="00245868" w14:paraId="3AC4FD26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6E304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D0AB" w14:textId="77777777" w:rsidR="00245868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Knowledge of responsibilities of doctors as described in </w:t>
            </w:r>
            <w:r>
              <w:rPr>
                <w:i/>
              </w:rPr>
              <w:t xml:space="preserve">Good Medical Practice </w:t>
            </w:r>
          </w:p>
        </w:tc>
      </w:tr>
      <w:tr w:rsidR="00245868" w14:paraId="75970ABB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06A28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41B9" w14:textId="77777777" w:rsidR="00245868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Knowledge of principles of clinical governance, </w:t>
            </w:r>
            <w:proofErr w:type="gramStart"/>
            <w:r>
              <w:t>evidence based</w:t>
            </w:r>
            <w:proofErr w:type="gramEnd"/>
            <w:r>
              <w:t xml:space="preserve"> medicine and clinical effectiveness </w:t>
            </w:r>
          </w:p>
        </w:tc>
      </w:tr>
      <w:tr w:rsidR="00245868" w14:paraId="1ED618C9" w14:textId="77777777">
        <w:trPr>
          <w:trHeight w:val="2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38E70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24BF" w14:textId="77777777" w:rsidR="00245868" w:rsidRDefault="00000000">
            <w:pPr>
              <w:spacing w:after="120" w:line="239" w:lineRule="auto"/>
              <w:ind w:left="0" w:right="63" w:firstLine="0"/>
              <w:jc w:val="both"/>
            </w:pPr>
            <w:r>
              <w:t xml:space="preserve">Knowledge of the health sector (e.g. primary care, secondary care, mental health, independent sector) in which appraisal duties are to be performed </w:t>
            </w:r>
          </w:p>
          <w:p w14:paraId="7F1A86DA" w14:textId="77777777" w:rsidR="00245868" w:rsidRDefault="00000000">
            <w:pPr>
              <w:spacing w:after="124" w:line="240" w:lineRule="auto"/>
              <w:ind w:left="0" w:firstLine="0"/>
            </w:pPr>
            <w:r>
              <w:t xml:space="preserve">Knowledge of relevant local and national healthcare context </w:t>
            </w:r>
          </w:p>
          <w:p w14:paraId="37B466BC" w14:textId="77777777" w:rsidR="00245868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Knowledge of local professional development and education structures </w:t>
            </w:r>
          </w:p>
        </w:tc>
      </w:tr>
      <w:tr w:rsidR="00245868" w14:paraId="396B64DB" w14:textId="7777777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18C5F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D894" w14:textId="77777777" w:rsidR="00245868" w:rsidRDefault="00000000">
            <w:pPr>
              <w:spacing w:after="0" w:line="259" w:lineRule="auto"/>
              <w:ind w:left="0" w:firstLine="0"/>
            </w:pPr>
            <w:r>
              <w:t xml:space="preserve">Understanding of principles of equality and diversity </w:t>
            </w:r>
          </w:p>
        </w:tc>
      </w:tr>
      <w:tr w:rsidR="00245868" w14:paraId="0A737EF2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D26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4989C" w14:textId="77777777" w:rsidR="00245868" w:rsidRDefault="00000000">
            <w:pPr>
              <w:spacing w:after="92" w:line="259" w:lineRule="auto"/>
              <w:ind w:left="0" w:firstLine="0"/>
            </w:pPr>
            <w:r>
              <w:t xml:space="preserve">Understanding of principles of information governance </w:t>
            </w:r>
          </w:p>
          <w:p w14:paraId="4BBF7189" w14:textId="77777777" w:rsidR="00245868" w:rsidRDefault="00000000">
            <w:pPr>
              <w:spacing w:after="0" w:line="259" w:lineRule="auto"/>
              <w:ind w:left="0" w:firstLine="0"/>
            </w:pPr>
            <w:r>
              <w:t xml:space="preserve">Understanding of legislation and guidance relating to </w:t>
            </w:r>
          </w:p>
        </w:tc>
      </w:tr>
    </w:tbl>
    <w:p w14:paraId="0BD9CC27" w14:textId="77777777" w:rsidR="00245868" w:rsidRDefault="00000000">
      <w:pPr>
        <w:spacing w:after="0" w:line="259" w:lineRule="auto"/>
        <w:ind w:left="1106" w:firstLine="0"/>
        <w:jc w:val="center"/>
      </w:pPr>
      <w:r>
        <w:rPr>
          <w:sz w:val="20"/>
        </w:rPr>
        <w:t xml:space="preserve">Page 18 of 21 </w:t>
      </w:r>
    </w:p>
    <w:p w14:paraId="3D79BD86" w14:textId="77777777" w:rsidR="00245868" w:rsidRDefault="00000000">
      <w:pPr>
        <w:spacing w:after="195" w:line="243" w:lineRule="auto"/>
        <w:ind w:left="961" w:hanging="10"/>
      </w:pPr>
      <w:r>
        <w:rPr>
          <w:sz w:val="18"/>
        </w:rPr>
        <w:t xml:space="preserve">Medical Appraisal Policy to support revalidation of Consultants, SAS Doctors and Dentists in Leeds Community Healthcare NHS Trust </w:t>
      </w:r>
    </w:p>
    <w:p w14:paraId="026890DB" w14:textId="77777777" w:rsidR="00245868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9359" w:type="dxa"/>
        <w:tblInd w:w="845" w:type="dxa"/>
        <w:tblCellMar>
          <w:top w:w="57" w:type="dxa"/>
          <w:left w:w="5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3247"/>
        <w:gridCol w:w="6112"/>
      </w:tblGrid>
      <w:tr w:rsidR="00245868" w14:paraId="11AF4E27" w14:textId="77777777">
        <w:trPr>
          <w:trHeight w:val="410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C681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E509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data protection and confidentiality </w:t>
            </w:r>
          </w:p>
        </w:tc>
      </w:tr>
      <w:tr w:rsidR="00245868" w14:paraId="5B9182EB" w14:textId="77777777">
        <w:trPr>
          <w:trHeight w:val="11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E445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E417" w14:textId="77777777" w:rsidR="00245868" w:rsidRDefault="00000000">
            <w:pPr>
              <w:spacing w:after="97" w:line="259" w:lineRule="auto"/>
              <w:ind w:left="105" w:firstLine="0"/>
            </w:pPr>
            <w:r>
              <w:t xml:space="preserve">knowledge of relevant speciality specific elements, </w:t>
            </w:r>
          </w:p>
          <w:p w14:paraId="5C950299" w14:textId="77777777" w:rsidR="00245868" w:rsidRDefault="00000000">
            <w:pPr>
              <w:spacing w:after="0" w:line="259" w:lineRule="auto"/>
              <w:ind w:left="105" w:firstLine="0"/>
              <w:jc w:val="both"/>
            </w:pPr>
            <w:r>
              <w:t xml:space="preserve">including continuing professional development requirements and quality improvement activities </w:t>
            </w:r>
          </w:p>
        </w:tc>
      </w:tr>
      <w:tr w:rsidR="00245868" w14:paraId="4B1B66D7" w14:textId="77777777">
        <w:trPr>
          <w:trHeight w:val="525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5B51" w14:textId="77777777" w:rsidR="00245868" w:rsidRDefault="00000000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Skills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2C7B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Motivating, influencing and negotiating skills </w:t>
            </w:r>
          </w:p>
        </w:tc>
      </w:tr>
      <w:tr w:rsidR="00245868" w14:paraId="327E28FA" w14:textId="77777777">
        <w:trPr>
          <w:trHeight w:val="1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51F31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99E0" w14:textId="77777777" w:rsidR="00245868" w:rsidRDefault="00000000">
            <w:pPr>
              <w:spacing w:after="0" w:line="259" w:lineRule="auto"/>
              <w:ind w:left="105" w:right="63" w:firstLine="0"/>
              <w:jc w:val="both"/>
            </w:pPr>
            <w:r>
              <w:t xml:space="preserve">Good oral communication skills, including active listening skills, the ability to understand and summarise a discussion, ask appropriate questions, provide constructive challenge and give effective feedback </w:t>
            </w:r>
          </w:p>
        </w:tc>
      </w:tr>
      <w:tr w:rsidR="00245868" w14:paraId="74940CDE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6C960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3774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Good written communication skills, including the ability to summarise clearly and accurately </w:t>
            </w:r>
          </w:p>
        </w:tc>
      </w:tr>
      <w:tr w:rsidR="00245868" w14:paraId="3F5F54A0" w14:textId="7777777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E9589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9066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Objective evaluation skills </w:t>
            </w:r>
          </w:p>
        </w:tc>
      </w:tr>
      <w:tr w:rsidR="00245868" w14:paraId="15C75D95" w14:textId="77777777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411C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B7D9" w14:textId="77777777" w:rsidR="00245868" w:rsidRDefault="00000000">
            <w:pPr>
              <w:spacing w:after="115" w:line="243" w:lineRule="auto"/>
              <w:ind w:left="105" w:firstLine="0"/>
            </w:pPr>
            <w:r>
              <w:t xml:space="preserve">Adequate computer skills for the role – this may include familiarity </w:t>
            </w:r>
          </w:p>
          <w:p w14:paraId="5F1DD027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with web-based appraisal support systems </w:t>
            </w:r>
          </w:p>
        </w:tc>
      </w:tr>
      <w:tr w:rsidR="00245868" w14:paraId="4DA9B66D" w14:textId="77777777">
        <w:trPr>
          <w:trHeight w:val="1871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E8CF" w14:textId="77777777" w:rsidR="00245868" w:rsidRDefault="00000000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Attributes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1235" w14:textId="77777777" w:rsidR="00245868" w:rsidRDefault="00000000">
            <w:pPr>
              <w:spacing w:after="125" w:line="239" w:lineRule="auto"/>
              <w:ind w:left="105" w:firstLine="0"/>
              <w:jc w:val="both"/>
            </w:pPr>
            <w:r>
              <w:t xml:space="preserve">Excellent personal integrity, personal effectiveness and </w:t>
            </w:r>
            <w:proofErr w:type="spellStart"/>
            <w:r>
              <w:t>self awareness</w:t>
            </w:r>
            <w:proofErr w:type="spellEnd"/>
            <w:r>
              <w:t xml:space="preserve"> </w:t>
            </w:r>
          </w:p>
          <w:p w14:paraId="2BFC6042" w14:textId="77777777" w:rsidR="00245868" w:rsidRDefault="00000000">
            <w:pPr>
              <w:spacing w:after="97" w:line="259" w:lineRule="auto"/>
              <w:ind w:left="105" w:firstLine="0"/>
            </w:pPr>
            <w:r>
              <w:t xml:space="preserve">Motivated, enthusiastic, positive role model </w:t>
            </w:r>
          </w:p>
          <w:p w14:paraId="0C059820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Ability to adapt behaviour to meet the needs of the doctor </w:t>
            </w:r>
          </w:p>
        </w:tc>
      </w:tr>
      <w:tr w:rsidR="00245868" w14:paraId="76494D48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85349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945" w14:textId="77777777" w:rsidR="00245868" w:rsidRDefault="00000000">
            <w:pPr>
              <w:spacing w:after="0" w:line="259" w:lineRule="auto"/>
              <w:ind w:left="105" w:firstLine="0"/>
            </w:pPr>
            <w:r>
              <w:t xml:space="preserve">Commitment to ongoing personal education and development </w:t>
            </w:r>
          </w:p>
        </w:tc>
      </w:tr>
      <w:tr w:rsidR="00245868" w14:paraId="696624C6" w14:textId="77777777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C59A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AE49" w14:textId="77777777" w:rsidR="00245868" w:rsidRDefault="00000000">
            <w:pPr>
              <w:spacing w:after="0" w:line="259" w:lineRule="auto"/>
              <w:ind w:left="105" w:right="89" w:firstLine="0"/>
              <w:jc w:val="both"/>
            </w:pPr>
            <w:r>
              <w:t xml:space="preserve">Good working relationships with professional colleagues and relevant stakeholders Ability to work effectively in a team </w:t>
            </w:r>
          </w:p>
        </w:tc>
      </w:tr>
    </w:tbl>
    <w:p w14:paraId="0E9D9C52" w14:textId="77777777" w:rsidR="00245868" w:rsidRDefault="00000000">
      <w:pPr>
        <w:tabs>
          <w:tab w:val="center" w:pos="5095"/>
        </w:tabs>
        <w:spacing w:after="49" w:line="259" w:lineRule="auto"/>
        <w:ind w:left="-15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Page 19 of 21 </w:t>
      </w:r>
    </w:p>
    <w:p w14:paraId="4F82A7D7" w14:textId="77777777" w:rsidR="00245868" w:rsidRDefault="00000000">
      <w:pPr>
        <w:pStyle w:val="Heading2"/>
        <w:spacing w:after="117"/>
        <w:ind w:left="275"/>
      </w:pPr>
      <w:r>
        <w:t xml:space="preserve">Appendix 3 </w:t>
      </w:r>
    </w:p>
    <w:p w14:paraId="626DC9D5" w14:textId="77777777" w:rsidR="00245868" w:rsidRDefault="00000000">
      <w:pPr>
        <w:spacing w:after="7" w:line="259" w:lineRule="auto"/>
        <w:ind w:left="0" w:right="5019" w:firstLine="0"/>
        <w:jc w:val="right"/>
      </w:pPr>
      <w:r>
        <w:t xml:space="preserve">Job description for post of appraiser </w:t>
      </w:r>
    </w:p>
    <w:p w14:paraId="28E4CB58" w14:textId="77777777" w:rsidR="00245868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999" w:type="dxa"/>
        <w:tblInd w:w="290" w:type="dxa"/>
        <w:tblCellMar>
          <w:top w:w="175" w:type="dxa"/>
          <w:left w:w="11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996"/>
        <w:gridCol w:w="7003"/>
      </w:tblGrid>
      <w:tr w:rsidR="00245868" w14:paraId="5E41A1BC" w14:textId="77777777">
        <w:trPr>
          <w:trHeight w:val="800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B613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Accountability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DF34" w14:textId="77777777" w:rsidR="00245868" w:rsidRDefault="00000000">
            <w:pPr>
              <w:spacing w:after="0" w:line="259" w:lineRule="auto"/>
              <w:ind w:left="5" w:firstLine="0"/>
            </w:pPr>
            <w:r>
              <w:t xml:space="preserve">Accountable for the role to the Responsible Officer and Chief Executive </w:t>
            </w:r>
          </w:p>
        </w:tc>
      </w:tr>
      <w:tr w:rsidR="00245868" w14:paraId="49072DD9" w14:textId="77777777">
        <w:trPr>
          <w:trHeight w:val="1356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8CF4" w14:textId="77777777" w:rsidR="00245868" w:rsidRDefault="00000000">
            <w:pPr>
              <w:tabs>
                <w:tab w:val="right" w:pos="185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Key </w:t>
            </w:r>
            <w:r>
              <w:rPr>
                <w:b/>
              </w:rPr>
              <w:tab/>
              <w:t xml:space="preserve">Working </w:t>
            </w:r>
          </w:p>
          <w:p w14:paraId="25BA3672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Relationships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8A07" w14:textId="77777777" w:rsidR="00245868" w:rsidRDefault="00000000">
            <w:pPr>
              <w:spacing w:after="0" w:line="259" w:lineRule="auto"/>
              <w:ind w:left="5" w:right="69" w:firstLine="0"/>
              <w:jc w:val="both"/>
            </w:pPr>
            <w:r>
              <w:t xml:space="preserve">Communications and key working relationships with the Medical Director/Responsible Officer, RO Manager and Medical Directorate team secretary, AMDs, Medical/Dental Leads, General Managers/ Heads of Service, other appraisers. </w:t>
            </w:r>
          </w:p>
        </w:tc>
      </w:tr>
      <w:tr w:rsidR="00245868" w14:paraId="25FE3453" w14:textId="77777777">
        <w:trPr>
          <w:trHeight w:val="2575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A8B0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New </w:t>
            </w:r>
          </w:p>
          <w:p w14:paraId="6A322D05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Appointees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04CA" w14:textId="77777777" w:rsidR="00245868" w:rsidRDefault="00000000">
            <w:pPr>
              <w:spacing w:after="125" w:line="239" w:lineRule="auto"/>
              <w:ind w:left="5" w:right="72" w:firstLine="0"/>
              <w:jc w:val="both"/>
            </w:pPr>
            <w:r>
              <w:t xml:space="preserve">Should undertake a </w:t>
            </w:r>
            <w:proofErr w:type="gramStart"/>
            <w:r>
              <w:t>one year</w:t>
            </w:r>
            <w:proofErr w:type="gramEnd"/>
            <w:r>
              <w:t xml:space="preserve"> probationary period, undertaking at least 5 appraisals with an interim review by the RO following 3 appraisals and a full review at one year to include appraisal feedback questionnaires and quality assurance of each appraisal. </w:t>
            </w:r>
          </w:p>
          <w:p w14:paraId="76228967" w14:textId="77777777" w:rsidR="00245868" w:rsidRDefault="00000000">
            <w:pPr>
              <w:spacing w:after="0" w:line="259" w:lineRule="auto"/>
              <w:ind w:left="5" w:right="78" w:firstLine="0"/>
              <w:jc w:val="both"/>
            </w:pPr>
            <w:r>
              <w:t xml:space="preserve">New appraisers should have completed initial and enhanced appraisal training and fulfil the criteria within the person specification. </w:t>
            </w:r>
          </w:p>
        </w:tc>
      </w:tr>
      <w:tr w:rsidR="00245868" w14:paraId="4BD3F185" w14:textId="77777777">
        <w:trPr>
          <w:trHeight w:val="4046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A07" w14:textId="77777777" w:rsidR="00245868" w:rsidRDefault="00000000">
            <w:pPr>
              <w:spacing w:after="0" w:line="239" w:lineRule="auto"/>
              <w:ind w:left="0" w:firstLine="0"/>
              <w:jc w:val="both"/>
            </w:pPr>
            <w:r>
              <w:rPr>
                <w:b/>
              </w:rPr>
              <w:t xml:space="preserve">Purpose and description of </w:t>
            </w:r>
          </w:p>
          <w:p w14:paraId="7BCF7905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the role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A3C9" w14:textId="77777777" w:rsidR="00245868" w:rsidRDefault="00000000">
            <w:pPr>
              <w:spacing w:after="120" w:line="239" w:lineRule="auto"/>
              <w:ind w:left="5" w:right="77" w:firstLine="0"/>
              <w:jc w:val="both"/>
            </w:pPr>
            <w:r>
              <w:t xml:space="preserve">The appraiser will conduct medical appraisals that contribute to revalidation and for dentists according to the requirements of Appraisal Guidance for salaried dentists 2007 BDA and NHS Employers. </w:t>
            </w:r>
          </w:p>
          <w:p w14:paraId="2032304F" w14:textId="77777777" w:rsidR="00245868" w:rsidRDefault="00000000">
            <w:pPr>
              <w:spacing w:after="115" w:line="243" w:lineRule="auto"/>
              <w:ind w:left="5" w:firstLine="0"/>
              <w:jc w:val="both"/>
            </w:pPr>
            <w:r>
              <w:t xml:space="preserve">Appraisers will be expected to conduct 5 appraisals per year but no more than 15. </w:t>
            </w:r>
          </w:p>
          <w:p w14:paraId="40741BD1" w14:textId="77777777" w:rsidR="00245868" w:rsidRDefault="00000000">
            <w:pPr>
              <w:spacing w:after="121" w:line="239" w:lineRule="auto"/>
              <w:ind w:left="5" w:firstLine="0"/>
              <w:jc w:val="both"/>
            </w:pPr>
            <w:r>
              <w:t xml:space="preserve">Appraisers will have specified time within SPA time in their job plans for appraisal. </w:t>
            </w:r>
          </w:p>
          <w:p w14:paraId="415C07F4" w14:textId="77777777" w:rsidR="00245868" w:rsidRDefault="00000000">
            <w:pPr>
              <w:spacing w:after="120" w:line="239" w:lineRule="auto"/>
              <w:ind w:left="5" w:firstLine="0"/>
              <w:jc w:val="both"/>
            </w:pPr>
            <w:r>
              <w:t xml:space="preserve">Appraisers will be subject to annual appraisee feedback and quality assurance processes as identified by the Trust. </w:t>
            </w:r>
          </w:p>
          <w:p w14:paraId="02A9EC1E" w14:textId="77777777" w:rsidR="00245868" w:rsidRDefault="00000000">
            <w:pPr>
              <w:spacing w:after="0" w:line="259" w:lineRule="auto"/>
              <w:ind w:left="5" w:firstLine="0"/>
              <w:jc w:val="both"/>
            </w:pPr>
            <w:r>
              <w:t xml:space="preserve">Appraisers should declare any conflicts of interest </w:t>
            </w:r>
            <w:proofErr w:type="gramStart"/>
            <w:r>
              <w:t>with regard to</w:t>
            </w:r>
            <w:proofErr w:type="gramEnd"/>
            <w:r>
              <w:t xml:space="preserve"> an appraisee to the RO. </w:t>
            </w:r>
          </w:p>
        </w:tc>
      </w:tr>
      <w:tr w:rsidR="00245868" w14:paraId="1E16DD02" w14:textId="77777777">
        <w:trPr>
          <w:trHeight w:val="800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651F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Key </w:t>
            </w:r>
          </w:p>
          <w:p w14:paraId="27650CA9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responsibilities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8449" w14:textId="77777777" w:rsidR="00245868" w:rsidRDefault="00000000">
            <w:pPr>
              <w:spacing w:after="0" w:line="259" w:lineRule="auto"/>
              <w:ind w:left="5" w:firstLine="0"/>
            </w:pPr>
            <w:r>
              <w:t xml:space="preserve">Undertake pre-appraisal preparation in line with principles from the medical appraiser training and current guidance </w:t>
            </w:r>
          </w:p>
        </w:tc>
      </w:tr>
      <w:tr w:rsidR="00245868" w14:paraId="39D9233E" w14:textId="77777777">
        <w:trPr>
          <w:trHeight w:val="38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4C32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1C64" w14:textId="77777777" w:rsidR="00245868" w:rsidRDefault="00000000">
            <w:pPr>
              <w:spacing w:after="133" w:line="241" w:lineRule="auto"/>
              <w:ind w:left="5" w:firstLine="0"/>
            </w:pPr>
            <w:r>
              <w:t xml:space="preserve">To conduct the appraisal interview in line with principles from the medical appraiser training and current guidance. This will include: </w:t>
            </w:r>
          </w:p>
          <w:p w14:paraId="2C16F67B" w14:textId="77777777" w:rsidR="00245868" w:rsidRDefault="00000000">
            <w:pPr>
              <w:numPr>
                <w:ilvl w:val="0"/>
                <w:numId w:val="7"/>
              </w:numPr>
              <w:spacing w:after="134" w:line="240" w:lineRule="auto"/>
              <w:ind w:hanging="340"/>
            </w:pPr>
            <w:r>
              <w:t xml:space="preserve">agreeing an agenda with the appraisee which should include an appropriate balance of personal, professional and local objectives </w:t>
            </w:r>
          </w:p>
          <w:p w14:paraId="07FA9179" w14:textId="77777777" w:rsidR="00245868" w:rsidRDefault="00000000">
            <w:pPr>
              <w:numPr>
                <w:ilvl w:val="0"/>
                <w:numId w:val="7"/>
              </w:numPr>
              <w:spacing w:after="72" w:line="259" w:lineRule="auto"/>
              <w:ind w:hanging="340"/>
            </w:pPr>
            <w:r>
              <w:t xml:space="preserve">building a positive working relationship with the appraisee </w:t>
            </w:r>
          </w:p>
          <w:p w14:paraId="32AB78B1" w14:textId="77777777" w:rsidR="00245868" w:rsidRDefault="00000000">
            <w:pPr>
              <w:numPr>
                <w:ilvl w:val="0"/>
                <w:numId w:val="7"/>
              </w:numPr>
              <w:spacing w:after="133" w:line="241" w:lineRule="auto"/>
              <w:ind w:hanging="340"/>
            </w:pPr>
            <w:r>
              <w:t xml:space="preserve">supporting the appraisee in considering practice over the last year and </w:t>
            </w:r>
          </w:p>
          <w:p w14:paraId="7741FECE" w14:textId="77777777" w:rsidR="00245868" w:rsidRDefault="00000000">
            <w:pPr>
              <w:numPr>
                <w:ilvl w:val="0"/>
                <w:numId w:val="7"/>
              </w:numPr>
              <w:spacing w:after="0" w:line="259" w:lineRule="auto"/>
              <w:ind w:hanging="340"/>
            </w:pPr>
            <w:r>
              <w:t xml:space="preserve">agreeing objectives and a development plan with the appraisee </w:t>
            </w:r>
          </w:p>
        </w:tc>
      </w:tr>
    </w:tbl>
    <w:p w14:paraId="5A29C57B" w14:textId="77777777" w:rsidR="00245868" w:rsidRDefault="00000000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p w14:paraId="0F89F639" w14:textId="77777777" w:rsidR="00245868" w:rsidRDefault="00000000">
      <w:pPr>
        <w:spacing w:after="195" w:line="243" w:lineRule="auto"/>
        <w:ind w:left="275" w:hanging="10"/>
      </w:pPr>
      <w:r>
        <w:rPr>
          <w:sz w:val="18"/>
        </w:rPr>
        <w:t xml:space="preserve">Medical Appraisal Policy to support revalidation of Consultants, SAS Doctors and Dentists in Leeds Community Healthcare NHS Trust </w:t>
      </w:r>
    </w:p>
    <w:p w14:paraId="3AB7A9D2" w14:textId="77777777" w:rsidR="00245868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999" w:type="dxa"/>
        <w:tblInd w:w="290" w:type="dxa"/>
        <w:tblCellMar>
          <w:top w:w="57" w:type="dxa"/>
          <w:left w:w="5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996"/>
        <w:gridCol w:w="7003"/>
      </w:tblGrid>
      <w:tr w:rsidR="00245868" w14:paraId="34C6056C" w14:textId="77777777">
        <w:trPr>
          <w:trHeight w:val="425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B136" w14:textId="77777777" w:rsidR="00245868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8E0" w14:textId="77777777" w:rsidR="00245868" w:rsidRDefault="00000000">
            <w:pPr>
              <w:spacing w:after="0" w:line="259" w:lineRule="auto"/>
              <w:ind w:left="110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agreeing a summary of the appraisal meeting </w:t>
            </w:r>
          </w:p>
        </w:tc>
      </w:tr>
      <w:tr w:rsidR="00245868" w14:paraId="2FD314F3" w14:textId="77777777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AD73A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A17E" w14:textId="77777777" w:rsidR="00245868" w:rsidRDefault="00000000">
            <w:pPr>
              <w:spacing w:after="0" w:line="259" w:lineRule="auto"/>
              <w:ind w:left="110" w:right="64" w:firstLine="0"/>
              <w:jc w:val="both"/>
            </w:pPr>
            <w:r>
              <w:t xml:space="preserve">Complete post-appraisal documentation in line with current local and national guidance and quality standards in a timely fashion with sign off within 28 days of the appraisal meeting. </w:t>
            </w:r>
          </w:p>
        </w:tc>
      </w:tr>
      <w:tr w:rsidR="00245868" w14:paraId="2D09DE27" w14:textId="77777777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76E44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0531" w14:textId="77777777" w:rsidR="00245868" w:rsidRDefault="00000000">
            <w:pPr>
              <w:spacing w:after="0" w:line="259" w:lineRule="auto"/>
              <w:ind w:left="110" w:firstLine="0"/>
            </w:pPr>
            <w:r>
              <w:t xml:space="preserve">Appraisers will be appointed for a </w:t>
            </w:r>
            <w:proofErr w:type="gramStart"/>
            <w:r>
              <w:t>5 year</w:t>
            </w:r>
            <w:proofErr w:type="gramEnd"/>
            <w:r>
              <w:t xml:space="preserve"> period with extension following satisfactory review. </w:t>
            </w:r>
          </w:p>
        </w:tc>
      </w:tr>
      <w:tr w:rsidR="00245868" w14:paraId="206ED635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C3E3B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42E2" w14:textId="77777777" w:rsidR="00245868" w:rsidRDefault="00000000">
            <w:pPr>
              <w:spacing w:after="0" w:line="259" w:lineRule="auto"/>
              <w:ind w:left="110" w:firstLine="0"/>
              <w:jc w:val="both"/>
            </w:pPr>
            <w:r>
              <w:t xml:space="preserve">Appraisers will be responsible for undertaking initial training and annual refresher </w:t>
            </w:r>
            <w:proofErr w:type="gramStart"/>
            <w:r>
              <w:t>training..</w:t>
            </w:r>
            <w:proofErr w:type="gramEnd"/>
            <w:r>
              <w:t xml:space="preserve"> </w:t>
            </w:r>
          </w:p>
        </w:tc>
      </w:tr>
      <w:tr w:rsidR="00245868" w14:paraId="138C0957" w14:textId="77777777">
        <w:trPr>
          <w:trHeight w:val="1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C7DB4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430B" w14:textId="77777777" w:rsidR="00245868" w:rsidRDefault="00000000">
            <w:pPr>
              <w:spacing w:after="0" w:line="259" w:lineRule="auto"/>
              <w:ind w:left="110" w:right="76" w:firstLine="0"/>
              <w:jc w:val="both"/>
            </w:pPr>
            <w:r>
              <w:t xml:space="preserve">Appraisers are required to participate in ongoing support and development to address development needs and include this in their PDP with a declaration and reflection of their appraisal work in their appraisals. </w:t>
            </w:r>
          </w:p>
        </w:tc>
      </w:tr>
      <w:tr w:rsidR="00245868" w14:paraId="2F533056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F0A52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E313" w14:textId="77777777" w:rsidR="00245868" w:rsidRDefault="00000000">
            <w:pPr>
              <w:spacing w:after="0" w:line="259" w:lineRule="auto"/>
              <w:ind w:left="110" w:firstLine="0"/>
            </w:pPr>
            <w:r>
              <w:t xml:space="preserve">Appraisers are required to participate in performance review in the role of appraiser </w:t>
            </w:r>
          </w:p>
        </w:tc>
      </w:tr>
      <w:tr w:rsidR="00245868" w14:paraId="2D3F0E28" w14:textId="77777777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22451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FF6F" w14:textId="77777777" w:rsidR="00245868" w:rsidRDefault="00000000">
            <w:pPr>
              <w:spacing w:after="0" w:line="259" w:lineRule="auto"/>
              <w:ind w:left="110" w:right="77" w:firstLine="0"/>
              <w:jc w:val="both"/>
            </w:pPr>
            <w:r>
              <w:t xml:space="preserve">Appraisers are required to participate in the management and administration of the appraisal system (including reporting the progress and completion of allocated appraisals </w:t>
            </w:r>
          </w:p>
        </w:tc>
      </w:tr>
      <w:tr w:rsidR="00245868" w14:paraId="43B48964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D49" w14:textId="77777777" w:rsidR="00245868" w:rsidRDefault="00245868">
            <w:pPr>
              <w:spacing w:after="160" w:line="259" w:lineRule="auto"/>
              <w:ind w:left="0" w:firstLine="0"/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21AC" w14:textId="77777777" w:rsidR="00245868" w:rsidRDefault="00000000">
            <w:pPr>
              <w:spacing w:after="0" w:line="259" w:lineRule="auto"/>
              <w:ind w:left="110" w:firstLine="0"/>
              <w:jc w:val="both"/>
            </w:pPr>
            <w:r>
              <w:t xml:space="preserve">Appraisers are required to participate in arrangements for quality assurance of the appraisal system </w:t>
            </w:r>
          </w:p>
        </w:tc>
      </w:tr>
      <w:tr w:rsidR="00245868" w14:paraId="4AD569F1" w14:textId="77777777">
        <w:trPr>
          <w:trHeight w:val="313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AD3B" w14:textId="77777777" w:rsidR="00245868" w:rsidRDefault="00000000">
            <w:pPr>
              <w:spacing w:after="0" w:line="259" w:lineRule="auto"/>
              <w:ind w:left="105" w:firstLine="0"/>
            </w:pPr>
            <w:r>
              <w:rPr>
                <w:b/>
              </w:rPr>
              <w:lastRenderedPageBreak/>
              <w:t xml:space="preserve">Confidentiality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5320" w14:textId="77777777" w:rsidR="00245868" w:rsidRDefault="00000000">
            <w:pPr>
              <w:spacing w:after="125" w:line="239" w:lineRule="auto"/>
              <w:ind w:left="170" w:right="69" w:firstLine="0"/>
              <w:jc w:val="both"/>
            </w:pPr>
            <w:r>
              <w:t xml:space="preserve">Appraisal should be in the main a confidential process between the appraiser and the appraisee. Appraisers should have knowledge of the Trust’s appraisal system and restricted access to appraisal documentation. </w:t>
            </w:r>
          </w:p>
          <w:p w14:paraId="65BAD049" w14:textId="77777777" w:rsidR="00245868" w:rsidRDefault="00000000">
            <w:pPr>
              <w:spacing w:after="0" w:line="259" w:lineRule="auto"/>
              <w:ind w:left="115" w:right="64" w:hanging="5"/>
              <w:jc w:val="both"/>
            </w:pPr>
            <w:r>
              <w:t xml:space="preserve">Where it becomes apparent during the appraisal process that there is a potentially serious performance, health or conduct issue (not previously identified) of the appraisee that requires further discussion or examination, the appraisal discussion must be adjourned </w:t>
            </w:r>
            <w:proofErr w:type="gramStart"/>
            <w:r>
              <w:t>immediately</w:t>
            </w:r>
            <w:proofErr w:type="gramEnd"/>
            <w:r>
              <w:t xml:space="preserve"> and the appraiser should inform the RO/Medical Director. </w:t>
            </w:r>
          </w:p>
        </w:tc>
      </w:tr>
      <w:tr w:rsidR="00245868" w14:paraId="72C509A5" w14:textId="77777777">
        <w:trPr>
          <w:trHeight w:val="800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231" w14:textId="77777777" w:rsidR="00245868" w:rsidRDefault="00000000">
            <w:pPr>
              <w:spacing w:after="0" w:line="259" w:lineRule="auto"/>
              <w:ind w:left="105" w:firstLine="0"/>
            </w:pPr>
            <w:r>
              <w:rPr>
                <w:b/>
              </w:rPr>
              <w:t xml:space="preserve">Indemnity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745D" w14:textId="77777777" w:rsidR="00245868" w:rsidRDefault="00000000">
            <w:pPr>
              <w:spacing w:after="0" w:line="259" w:lineRule="auto"/>
              <w:ind w:left="110" w:firstLine="0"/>
            </w:pPr>
            <w:r>
              <w:t xml:space="preserve">Appraisers are covered by the Trust for their actions in the role unless and until they are shown to have acted with negligence. </w:t>
            </w:r>
          </w:p>
        </w:tc>
      </w:tr>
      <w:tr w:rsidR="00245868" w14:paraId="08515553" w14:textId="77777777">
        <w:trPr>
          <w:trHeight w:val="1081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482" w14:textId="77777777" w:rsidR="00245868" w:rsidRDefault="00000000">
            <w:pPr>
              <w:spacing w:after="0" w:line="259" w:lineRule="auto"/>
              <w:ind w:left="105" w:firstLine="0"/>
            </w:pPr>
            <w:r>
              <w:rPr>
                <w:b/>
              </w:rPr>
              <w:t xml:space="preserve">Policies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D28D" w14:textId="77777777" w:rsidR="00245868" w:rsidRDefault="00000000">
            <w:pPr>
              <w:spacing w:after="0" w:line="259" w:lineRule="auto"/>
              <w:ind w:left="110" w:right="75" w:firstLine="0"/>
              <w:jc w:val="both"/>
            </w:pPr>
            <w:r>
              <w:t xml:space="preserve">Appraisers should be compliant with relevant trust policies including health and safety policy, equality and diversity policy, information management policy. </w:t>
            </w:r>
          </w:p>
        </w:tc>
      </w:tr>
    </w:tbl>
    <w:p w14:paraId="33430C6C" w14:textId="77777777" w:rsidR="00245868" w:rsidRDefault="00000000">
      <w:pPr>
        <w:tabs>
          <w:tab w:val="center" w:pos="5095"/>
        </w:tabs>
        <w:spacing w:after="49" w:line="259" w:lineRule="auto"/>
        <w:ind w:left="-15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Page 21 of 21 </w:t>
      </w:r>
    </w:p>
    <w:p w14:paraId="2E4058B6" w14:textId="77777777" w:rsidR="00245868" w:rsidRDefault="00000000">
      <w:pPr>
        <w:spacing w:after="14824" w:line="243" w:lineRule="auto"/>
        <w:ind w:left="275" w:hanging="10"/>
      </w:pPr>
      <w:r>
        <w:rPr>
          <w:sz w:val="18"/>
        </w:rPr>
        <w:t xml:space="preserve">Medical Appraisal Policy to support revalidation of Consultants, SAS Doctors and Dentists in Leeds Community Healthcare NHS Trust </w:t>
      </w:r>
    </w:p>
    <w:p w14:paraId="759810E9" w14:textId="77777777" w:rsidR="00245868" w:rsidRDefault="00000000">
      <w:pPr>
        <w:tabs>
          <w:tab w:val="center" w:pos="5095"/>
        </w:tabs>
        <w:spacing w:after="49" w:line="259" w:lineRule="auto"/>
        <w:ind w:left="-15" w:firstLine="0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  <w:t xml:space="preserve">Page 22 of 21 </w:t>
      </w:r>
    </w:p>
    <w:sectPr w:rsidR="00245868">
      <w:footerReference w:type="even" r:id="rId7"/>
      <w:footerReference w:type="default" r:id="rId8"/>
      <w:footerReference w:type="first" r:id="rId9"/>
      <w:pgSz w:w="11910" w:h="16840"/>
      <w:pgMar w:top="725" w:right="1976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1332" w14:textId="77777777" w:rsidR="001F5154" w:rsidRDefault="001F5154">
      <w:pPr>
        <w:spacing w:after="0" w:line="240" w:lineRule="auto"/>
      </w:pPr>
      <w:r>
        <w:separator/>
      </w:r>
    </w:p>
  </w:endnote>
  <w:endnote w:type="continuationSeparator" w:id="0">
    <w:p w14:paraId="0C1E80FD" w14:textId="77777777" w:rsidR="001F5154" w:rsidRDefault="001F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82E7" w14:textId="77777777" w:rsidR="00245868" w:rsidRDefault="00245868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DC25" w14:textId="77777777" w:rsidR="00245868" w:rsidRDefault="00245868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A328" w14:textId="77777777" w:rsidR="00245868" w:rsidRDefault="0024586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CD2D" w14:textId="77777777" w:rsidR="001F5154" w:rsidRDefault="001F5154">
      <w:pPr>
        <w:spacing w:after="0" w:line="240" w:lineRule="auto"/>
      </w:pPr>
      <w:r>
        <w:separator/>
      </w:r>
    </w:p>
  </w:footnote>
  <w:footnote w:type="continuationSeparator" w:id="0">
    <w:p w14:paraId="0B615AA5" w14:textId="77777777" w:rsidR="001F5154" w:rsidRDefault="001F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AE7"/>
    <w:multiLevelType w:val="multilevel"/>
    <w:tmpl w:val="11CE8AE0"/>
    <w:lvl w:ilvl="0">
      <w:start w:val="1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60BAC"/>
    <w:multiLevelType w:val="hybridMultilevel"/>
    <w:tmpl w:val="02A036D4"/>
    <w:lvl w:ilvl="0" w:tplc="B11E79F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0FE6A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04044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24E74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E0CEC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0A196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4CEF0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4BD50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4633E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D4FD8"/>
    <w:multiLevelType w:val="hybridMultilevel"/>
    <w:tmpl w:val="C61CBD7C"/>
    <w:lvl w:ilvl="0" w:tplc="B12A3728">
      <w:start w:val="1"/>
      <w:numFmt w:val="bullet"/>
      <w:lvlText w:val="•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C8120">
      <w:start w:val="1"/>
      <w:numFmt w:val="bullet"/>
      <w:lvlText w:val="o"/>
      <w:lvlJc w:val="left"/>
      <w:pPr>
        <w:ind w:left="2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AF718">
      <w:start w:val="1"/>
      <w:numFmt w:val="bullet"/>
      <w:lvlText w:val="▪"/>
      <w:lvlJc w:val="left"/>
      <w:pPr>
        <w:ind w:left="3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24F34">
      <w:start w:val="1"/>
      <w:numFmt w:val="bullet"/>
      <w:lvlText w:val="•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049B6">
      <w:start w:val="1"/>
      <w:numFmt w:val="bullet"/>
      <w:lvlText w:val="o"/>
      <w:lvlJc w:val="left"/>
      <w:pPr>
        <w:ind w:left="4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6D79E">
      <w:start w:val="1"/>
      <w:numFmt w:val="bullet"/>
      <w:lvlText w:val="▪"/>
      <w:lvlJc w:val="left"/>
      <w:pPr>
        <w:ind w:left="5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4BBD0">
      <w:start w:val="1"/>
      <w:numFmt w:val="bullet"/>
      <w:lvlText w:val="•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2FC04">
      <w:start w:val="1"/>
      <w:numFmt w:val="bullet"/>
      <w:lvlText w:val="o"/>
      <w:lvlJc w:val="left"/>
      <w:pPr>
        <w:ind w:left="7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1C22">
      <w:start w:val="1"/>
      <w:numFmt w:val="bullet"/>
      <w:lvlText w:val="▪"/>
      <w:lvlJc w:val="left"/>
      <w:pPr>
        <w:ind w:left="7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BC01F0"/>
    <w:multiLevelType w:val="multilevel"/>
    <w:tmpl w:val="092C3B06"/>
    <w:lvl w:ilvl="0">
      <w:start w:val="1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794D4F"/>
    <w:multiLevelType w:val="hybridMultilevel"/>
    <w:tmpl w:val="7B2CD92C"/>
    <w:lvl w:ilvl="0" w:tplc="EF1A4C38">
      <w:start w:val="1"/>
      <w:numFmt w:val="bullet"/>
      <w:lvlText w:val="•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C4B2E">
      <w:start w:val="1"/>
      <w:numFmt w:val="bullet"/>
      <w:lvlText w:val="o"/>
      <w:lvlJc w:val="left"/>
      <w:pPr>
        <w:ind w:left="2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49BC4">
      <w:start w:val="1"/>
      <w:numFmt w:val="bullet"/>
      <w:lvlText w:val="▪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C91F4">
      <w:start w:val="1"/>
      <w:numFmt w:val="bullet"/>
      <w:lvlText w:val="•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8E7DC">
      <w:start w:val="1"/>
      <w:numFmt w:val="bullet"/>
      <w:lvlText w:val="o"/>
      <w:lvlJc w:val="left"/>
      <w:pPr>
        <w:ind w:left="4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7CE6">
      <w:start w:val="1"/>
      <w:numFmt w:val="bullet"/>
      <w:lvlText w:val="▪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24F80">
      <w:start w:val="1"/>
      <w:numFmt w:val="bullet"/>
      <w:lvlText w:val="•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C97F2">
      <w:start w:val="1"/>
      <w:numFmt w:val="bullet"/>
      <w:lvlText w:val="o"/>
      <w:lvlJc w:val="left"/>
      <w:pPr>
        <w:ind w:left="6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4F2A2">
      <w:start w:val="1"/>
      <w:numFmt w:val="bullet"/>
      <w:lvlText w:val="▪"/>
      <w:lvlJc w:val="left"/>
      <w:pPr>
        <w:ind w:left="7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0D3384"/>
    <w:multiLevelType w:val="multilevel"/>
    <w:tmpl w:val="122A24A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1B1DAA"/>
    <w:multiLevelType w:val="hybridMultilevel"/>
    <w:tmpl w:val="82FA2320"/>
    <w:lvl w:ilvl="0" w:tplc="F3964F58">
      <w:start w:val="1"/>
      <w:numFmt w:val="bullet"/>
      <w:lvlText w:val="•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CA9F2">
      <w:start w:val="1"/>
      <w:numFmt w:val="bullet"/>
      <w:lvlText w:val="o"/>
      <w:lvlJc w:val="left"/>
      <w:pPr>
        <w:ind w:left="2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0AEBE">
      <w:start w:val="1"/>
      <w:numFmt w:val="bullet"/>
      <w:lvlText w:val="▪"/>
      <w:lvlJc w:val="left"/>
      <w:pPr>
        <w:ind w:left="3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207FE">
      <w:start w:val="1"/>
      <w:numFmt w:val="bullet"/>
      <w:lvlText w:val="•"/>
      <w:lvlJc w:val="left"/>
      <w:pPr>
        <w:ind w:left="4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C9038">
      <w:start w:val="1"/>
      <w:numFmt w:val="bullet"/>
      <w:lvlText w:val="o"/>
      <w:lvlJc w:val="left"/>
      <w:pPr>
        <w:ind w:left="4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C8E6E">
      <w:start w:val="1"/>
      <w:numFmt w:val="bullet"/>
      <w:lvlText w:val="▪"/>
      <w:lvlJc w:val="left"/>
      <w:pPr>
        <w:ind w:left="5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AD238">
      <w:start w:val="1"/>
      <w:numFmt w:val="bullet"/>
      <w:lvlText w:val="•"/>
      <w:lvlJc w:val="left"/>
      <w:pPr>
        <w:ind w:left="6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E96BC">
      <w:start w:val="1"/>
      <w:numFmt w:val="bullet"/>
      <w:lvlText w:val="o"/>
      <w:lvlJc w:val="left"/>
      <w:pPr>
        <w:ind w:left="7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A51DA">
      <w:start w:val="1"/>
      <w:numFmt w:val="bullet"/>
      <w:lvlText w:val="▪"/>
      <w:lvlJc w:val="left"/>
      <w:pPr>
        <w:ind w:left="7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467723">
    <w:abstractNumId w:val="4"/>
  </w:num>
  <w:num w:numId="2" w16cid:durableId="686298196">
    <w:abstractNumId w:val="6"/>
  </w:num>
  <w:num w:numId="3" w16cid:durableId="727722665">
    <w:abstractNumId w:val="5"/>
  </w:num>
  <w:num w:numId="4" w16cid:durableId="157116609">
    <w:abstractNumId w:val="2"/>
  </w:num>
  <w:num w:numId="5" w16cid:durableId="611210681">
    <w:abstractNumId w:val="0"/>
  </w:num>
  <w:num w:numId="6" w16cid:durableId="1982465286">
    <w:abstractNumId w:val="3"/>
  </w:num>
  <w:num w:numId="7" w16cid:durableId="133919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68"/>
    <w:rsid w:val="001F5154"/>
    <w:rsid w:val="00245868"/>
    <w:rsid w:val="007605FA"/>
    <w:rsid w:val="00F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0270"/>
  <w15:docId w15:val="{B52F1995-1914-4BBD-ACA9-B9388899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9" w:lineRule="auto"/>
      <w:ind w:left="970" w:hanging="69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2026-05-26T09:35:00Z</dcterms:created>
  <dcterms:modified xsi:type="dcterms:W3CDTF">2026-05-26T09:35:00Z</dcterms:modified>
</cp:coreProperties>
</file>